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2417"/>
        <w:tblW w:w="0" w:type="auto"/>
        <w:tblLook w:val="04A0"/>
      </w:tblPr>
      <w:tblGrid>
        <w:gridCol w:w="1951"/>
        <w:gridCol w:w="7261"/>
      </w:tblGrid>
      <w:tr w:rsidR="00915BF4" w:rsidTr="00EA7E42">
        <w:tc>
          <w:tcPr>
            <w:tcW w:w="1951" w:type="dxa"/>
            <w:tcBorders>
              <w:bottom w:val="single" w:sz="4" w:space="0" w:color="000000" w:themeColor="text1"/>
            </w:tcBorders>
            <w:shd w:val="clear" w:color="auto" w:fill="C4BC96" w:themeFill="background2" w:themeFillShade="BF"/>
          </w:tcPr>
          <w:p w:rsidR="00915BF4" w:rsidRDefault="00915BF4" w:rsidP="00EA7E42"/>
          <w:p w:rsidR="00915BF4" w:rsidRPr="00BF7105" w:rsidRDefault="00915BF4" w:rsidP="00EA7E42">
            <w:pPr>
              <w:rPr>
                <w:b/>
                <w:i/>
              </w:rPr>
            </w:pPr>
            <w:r w:rsidRPr="00BF7105">
              <w:rPr>
                <w:b/>
                <w:i/>
              </w:rPr>
              <w:t>Fiche thématique</w:t>
            </w:r>
          </w:p>
          <w:p w:rsidR="00915BF4" w:rsidRDefault="00915BF4" w:rsidP="00EA7E42"/>
        </w:tc>
        <w:tc>
          <w:tcPr>
            <w:tcW w:w="7261" w:type="dxa"/>
            <w:tcBorders>
              <w:bottom w:val="single" w:sz="4" w:space="0" w:color="000000" w:themeColor="text1"/>
            </w:tcBorders>
          </w:tcPr>
          <w:p w:rsidR="00915BF4" w:rsidRDefault="00915BF4" w:rsidP="00EA7E42"/>
          <w:p w:rsidR="00915BF4" w:rsidRPr="00EA7E42" w:rsidRDefault="00915BF4" w:rsidP="00EA7E42">
            <w:pPr>
              <w:rPr>
                <w:b/>
                <w:i/>
                <w:caps/>
                <w:u w:val="single"/>
              </w:rPr>
            </w:pPr>
            <w:r w:rsidRPr="00ED4E16">
              <w:rPr>
                <w:b/>
                <w:i/>
                <w:caps/>
                <w:noProof/>
                <w:u w:val="single"/>
              </w:rPr>
              <w:t>Nutrition</w:t>
            </w:r>
          </w:p>
          <w:p w:rsidR="00915BF4" w:rsidRDefault="00915BF4" w:rsidP="00EA7E42"/>
        </w:tc>
      </w:tr>
      <w:tr w:rsidR="00915BF4" w:rsidTr="00EA7E42">
        <w:tc>
          <w:tcPr>
            <w:tcW w:w="9212" w:type="dxa"/>
            <w:gridSpan w:val="2"/>
            <w:shd w:val="clear" w:color="auto" w:fill="C4BC96" w:themeFill="background2" w:themeFillShade="BF"/>
          </w:tcPr>
          <w:p w:rsidR="00915BF4" w:rsidRDefault="00915BF4" w:rsidP="00EA7E42"/>
          <w:p w:rsidR="00915BF4" w:rsidRPr="00BF7105" w:rsidRDefault="00CF3D62" w:rsidP="00EA7E42">
            <w:pPr>
              <w:jc w:val="center"/>
              <w:rPr>
                <w:b/>
                <w:i/>
              </w:rPr>
            </w:pPr>
            <w:r>
              <w:rPr>
                <w:b/>
                <w:i/>
              </w:rPr>
              <w:t>Contexte</w:t>
            </w:r>
          </w:p>
          <w:p w:rsidR="00915BF4" w:rsidRDefault="00915BF4" w:rsidP="00EA7E42"/>
        </w:tc>
      </w:tr>
      <w:tr w:rsidR="00915BF4" w:rsidTr="00EA7E42">
        <w:tc>
          <w:tcPr>
            <w:tcW w:w="9212" w:type="dxa"/>
            <w:gridSpan w:val="2"/>
            <w:tcBorders>
              <w:bottom w:val="single" w:sz="4" w:space="0" w:color="000000" w:themeColor="text1"/>
            </w:tcBorders>
          </w:tcPr>
          <w:p w:rsidR="00915BF4" w:rsidRDefault="00915BF4" w:rsidP="00EA7E42"/>
          <w:p w:rsidR="00915BF4" w:rsidRDefault="00915BF4" w:rsidP="00FA0E70">
            <w:pPr>
              <w:jc w:val="both"/>
              <w:rPr>
                <w:noProof/>
              </w:rPr>
            </w:pPr>
            <w:r>
              <w:rPr>
                <w:noProof/>
              </w:rPr>
              <w:t>Les chiffres du surpoids et de l’obésité sont alarmants sur l’ensemble de  notre territoire. En effet plus de 50% des adultes sont en surpoids et près d’un quart en situation d’obésité. C’est pourquoi la lutte contre le surpoids et l’obésité</w:t>
            </w:r>
            <w:r w:rsidR="00CF3D62">
              <w:rPr>
                <w:noProof/>
              </w:rPr>
              <w:t xml:space="preserve"> sont un objectif prioritaire de notre projet régional de santé</w:t>
            </w:r>
            <w:r>
              <w:rPr>
                <w:noProof/>
              </w:rPr>
              <w:t>.</w:t>
            </w:r>
          </w:p>
          <w:p w:rsidR="00CF3D62" w:rsidRDefault="00CF3D62" w:rsidP="00FA0E70">
            <w:pPr>
              <w:jc w:val="both"/>
              <w:rPr>
                <w:noProof/>
              </w:rPr>
            </w:pPr>
          </w:p>
          <w:p w:rsidR="00CF3D62" w:rsidRDefault="00CF3D62" w:rsidP="00FA0E70">
            <w:pPr>
              <w:jc w:val="both"/>
              <w:rPr>
                <w:noProof/>
              </w:rPr>
            </w:pPr>
            <w:r>
              <w:rPr>
                <w:noProof/>
              </w:rPr>
              <w:t>L</w:t>
            </w:r>
            <w:r w:rsidR="00915BF4">
              <w:rPr>
                <w:noProof/>
              </w:rPr>
              <w:t>’obésité altère la santé ; les conséquences les plus fréquentes sont</w:t>
            </w:r>
            <w:r>
              <w:rPr>
                <w:noProof/>
              </w:rPr>
              <w:t> :</w:t>
            </w:r>
          </w:p>
          <w:p w:rsidR="00CF3D62" w:rsidRDefault="00915BF4" w:rsidP="00CF3D62">
            <w:pPr>
              <w:pStyle w:val="Paragraphedeliste"/>
              <w:numPr>
                <w:ilvl w:val="0"/>
                <w:numId w:val="1"/>
              </w:numPr>
              <w:jc w:val="both"/>
              <w:rPr>
                <w:noProof/>
              </w:rPr>
            </w:pPr>
            <w:r>
              <w:rPr>
                <w:noProof/>
              </w:rPr>
              <w:t xml:space="preserve">physiques (diabète et hypertension artérielle, hypercholestérolémie, maladies cardiovasculaires, apnée du sommeil), </w:t>
            </w:r>
          </w:p>
          <w:p w:rsidR="00CF3D62" w:rsidRDefault="00915BF4" w:rsidP="00CF3D62">
            <w:pPr>
              <w:pStyle w:val="Paragraphedeliste"/>
              <w:numPr>
                <w:ilvl w:val="0"/>
                <w:numId w:val="1"/>
              </w:numPr>
              <w:jc w:val="both"/>
              <w:rPr>
                <w:noProof/>
              </w:rPr>
            </w:pPr>
            <w:r>
              <w:rPr>
                <w:noProof/>
              </w:rPr>
              <w:t xml:space="preserve">psychologiques (dépression, mésestime de soi), et </w:t>
            </w:r>
          </w:p>
          <w:p w:rsidR="00915BF4" w:rsidRDefault="00915BF4" w:rsidP="00CF3D62">
            <w:pPr>
              <w:pStyle w:val="Paragraphedeliste"/>
              <w:numPr>
                <w:ilvl w:val="0"/>
                <w:numId w:val="1"/>
              </w:numPr>
              <w:jc w:val="both"/>
              <w:rPr>
                <w:noProof/>
              </w:rPr>
            </w:pPr>
            <w:r>
              <w:rPr>
                <w:noProof/>
              </w:rPr>
              <w:t>sociales (isolement, discrimination).</w:t>
            </w:r>
          </w:p>
          <w:p w:rsidR="00CF3D62" w:rsidRDefault="00CF3D62" w:rsidP="00FA0E70">
            <w:pPr>
              <w:jc w:val="both"/>
              <w:rPr>
                <w:noProof/>
              </w:rPr>
            </w:pPr>
          </w:p>
          <w:p w:rsidR="00915BF4" w:rsidRDefault="00915BF4" w:rsidP="00FA0E70">
            <w:pPr>
              <w:jc w:val="both"/>
              <w:rPr>
                <w:noProof/>
              </w:rPr>
            </w:pPr>
            <w:r>
              <w:rPr>
                <w:noProof/>
              </w:rPr>
              <w:t>La proportion des enfants guadeloupéens en situation d’obésité est deux fois plus élevée qu’en France métropolitaine, c’est pourquoi notre attention doit avant tout se tourner vers nos petits et nos jeunes. Si les chiffres de l’obésité des hommes guadeloupéens se situent dans la moyenne hexagonale, l’obésité des femmes est deux fois supérieure à celle de la métropole. Ces chiffres justifient la volonté de promouvoir des actions incitant notre population à bouger davantage et à mieux s’alimenter. La nutrition</w:t>
            </w:r>
            <w:r w:rsidR="00CF3D62">
              <w:rPr>
                <w:rStyle w:val="Appelnotedebasdep"/>
                <w:noProof/>
              </w:rPr>
              <w:footnoteReference w:id="1"/>
            </w:r>
            <w:r>
              <w:rPr>
                <w:noProof/>
              </w:rPr>
              <w:t xml:space="preserve"> </w:t>
            </w:r>
            <w:r w:rsidR="00CF3D62">
              <w:rPr>
                <w:noProof/>
              </w:rPr>
              <w:t xml:space="preserve">favorable à la santé </w:t>
            </w:r>
            <w:r>
              <w:rPr>
                <w:noProof/>
              </w:rPr>
              <w:t>poursuit cet objectif.</w:t>
            </w:r>
          </w:p>
          <w:p w:rsidR="00CD2AD9" w:rsidRDefault="00CD2AD9" w:rsidP="00FA0E70">
            <w:pPr>
              <w:jc w:val="both"/>
              <w:rPr>
                <w:noProof/>
              </w:rPr>
            </w:pPr>
          </w:p>
          <w:p w:rsidR="00CD2AD9" w:rsidRDefault="00CD2AD9" w:rsidP="00FA0E70">
            <w:pPr>
              <w:jc w:val="both"/>
              <w:rPr>
                <w:noProof/>
              </w:rPr>
            </w:pPr>
            <w:r>
              <w:rPr>
                <w:noProof/>
              </w:rPr>
              <w:t>La politique nutritionnelle de notre territoire dépend de plusieurs documents de planification. Il y a tout d’abord le Plan National Nutrition Santé (PNNS) et ses repères nutritionnels, le Plan National Alimentation (PNA) et le plan régional nutrition intitulé « Plézi Boujé, Plézi Manjé » qui décline sur notre territoire les recommandations de ces plans nationaux.</w:t>
            </w:r>
          </w:p>
          <w:p w:rsidR="00915BF4" w:rsidRDefault="00915BF4" w:rsidP="00EA7E42">
            <w:pPr>
              <w:jc w:val="both"/>
            </w:pPr>
          </w:p>
          <w:p w:rsidR="00915BF4" w:rsidRDefault="00915BF4" w:rsidP="00EA7E42"/>
        </w:tc>
      </w:tr>
      <w:tr w:rsidR="00915BF4" w:rsidTr="00EA7E42">
        <w:tc>
          <w:tcPr>
            <w:tcW w:w="9212" w:type="dxa"/>
            <w:gridSpan w:val="2"/>
            <w:tcBorders>
              <w:bottom w:val="single" w:sz="4" w:space="0" w:color="000000" w:themeColor="text1"/>
            </w:tcBorders>
            <w:shd w:val="clear" w:color="auto" w:fill="C4BC96" w:themeFill="background2" w:themeFillShade="BF"/>
          </w:tcPr>
          <w:p w:rsidR="00915BF4" w:rsidRDefault="00915BF4" w:rsidP="00EA7E42"/>
          <w:p w:rsidR="00915BF4" w:rsidRPr="00BF7105" w:rsidRDefault="00915BF4" w:rsidP="00EA7E42">
            <w:pPr>
              <w:jc w:val="center"/>
              <w:rPr>
                <w:b/>
                <w:i/>
              </w:rPr>
            </w:pPr>
            <w:r>
              <w:rPr>
                <w:b/>
                <w:i/>
              </w:rPr>
              <w:t>O</w:t>
            </w:r>
            <w:r w:rsidRPr="00BF7105">
              <w:rPr>
                <w:b/>
                <w:i/>
              </w:rPr>
              <w:t>bjectifs</w:t>
            </w:r>
          </w:p>
          <w:p w:rsidR="00915BF4" w:rsidRDefault="00915BF4" w:rsidP="00EA7E42"/>
        </w:tc>
      </w:tr>
      <w:tr w:rsidR="00915BF4" w:rsidTr="00EA7E42">
        <w:tc>
          <w:tcPr>
            <w:tcW w:w="9212" w:type="dxa"/>
            <w:gridSpan w:val="2"/>
            <w:tcBorders>
              <w:bottom w:val="single" w:sz="4" w:space="0" w:color="000000" w:themeColor="text1"/>
            </w:tcBorders>
          </w:tcPr>
          <w:p w:rsidR="00915BF4" w:rsidRDefault="00915BF4" w:rsidP="00EA7E42"/>
          <w:p w:rsidR="00915BF4" w:rsidRDefault="00CD2AD9" w:rsidP="00FA0E70">
            <w:pPr>
              <w:jc w:val="both"/>
              <w:rPr>
                <w:noProof/>
              </w:rPr>
            </w:pPr>
            <w:r>
              <w:rPr>
                <w:noProof/>
              </w:rPr>
              <w:t xml:space="preserve">Les objectifs découlant de ces différents plans sont les suivants : </w:t>
            </w:r>
          </w:p>
          <w:p w:rsidR="00CD2AD9" w:rsidRDefault="00CD2AD9" w:rsidP="00FA0E70">
            <w:pPr>
              <w:jc w:val="both"/>
              <w:rPr>
                <w:noProof/>
              </w:rPr>
            </w:pPr>
          </w:p>
          <w:p w:rsidR="00915BF4" w:rsidRDefault="00CD2AD9" w:rsidP="00FA0E70">
            <w:pPr>
              <w:jc w:val="both"/>
              <w:rPr>
                <w:noProof/>
              </w:rPr>
            </w:pPr>
            <w:r>
              <w:rPr>
                <w:noProof/>
              </w:rPr>
              <w:t>1 -</w:t>
            </w:r>
            <w:r w:rsidR="00915BF4">
              <w:rPr>
                <w:noProof/>
              </w:rPr>
              <w:t xml:space="preserve"> </w:t>
            </w:r>
            <w:r w:rsidR="00980D3D">
              <w:rPr>
                <w:noProof/>
              </w:rPr>
              <w:t>P</w:t>
            </w:r>
            <w:r w:rsidR="00915BF4">
              <w:rPr>
                <w:noProof/>
              </w:rPr>
              <w:t>oursuivre l’amélioration d’un cadre de vie plus favorable à la santé</w:t>
            </w:r>
          </w:p>
          <w:p w:rsidR="00CD2AD9" w:rsidRDefault="00CD2AD9" w:rsidP="00FA0E70">
            <w:pPr>
              <w:jc w:val="both"/>
              <w:rPr>
                <w:noProof/>
              </w:rPr>
            </w:pPr>
          </w:p>
          <w:p w:rsidR="00915BF4" w:rsidRDefault="00CD2AD9" w:rsidP="00FA0E70">
            <w:pPr>
              <w:jc w:val="both"/>
              <w:rPr>
                <w:noProof/>
              </w:rPr>
            </w:pPr>
            <w:r w:rsidRPr="00CD2AD9">
              <w:rPr>
                <w:noProof/>
              </w:rPr>
              <w:t>2 -</w:t>
            </w:r>
            <w:r>
              <w:rPr>
                <w:b/>
                <w:noProof/>
              </w:rPr>
              <w:t xml:space="preserve"> </w:t>
            </w:r>
            <w:r w:rsidR="00915BF4">
              <w:rPr>
                <w:noProof/>
              </w:rPr>
              <w:t>Agir au plus tôt, dès la grossesse, chez le jeune enfant et au sein de la cellule familiale tout</w:t>
            </w:r>
            <w:r w:rsidR="00CF3D62">
              <w:rPr>
                <w:noProof/>
              </w:rPr>
              <w:t xml:space="preserve"> au long de son parcours de vie.</w:t>
            </w:r>
          </w:p>
          <w:p w:rsidR="00CF3D62" w:rsidRDefault="00CF3D62" w:rsidP="00FA0E70">
            <w:pPr>
              <w:jc w:val="both"/>
              <w:rPr>
                <w:noProof/>
              </w:rPr>
            </w:pPr>
          </w:p>
          <w:p w:rsidR="00915BF4" w:rsidRDefault="00915BF4" w:rsidP="00FA0E70">
            <w:pPr>
              <w:jc w:val="both"/>
              <w:rPr>
                <w:noProof/>
              </w:rPr>
            </w:pPr>
            <w:r>
              <w:rPr>
                <w:noProof/>
              </w:rPr>
              <w:t xml:space="preserve">Les actions attendues doivent promouvoir l’éducation au goût et aux aliments locaux. </w:t>
            </w:r>
            <w:r w:rsidR="00980D3D">
              <w:rPr>
                <w:noProof/>
              </w:rPr>
              <w:t>Promouvoir une alimentation en circuit court</w:t>
            </w:r>
            <w:r>
              <w:rPr>
                <w:noProof/>
              </w:rPr>
              <w:t>.</w:t>
            </w:r>
          </w:p>
          <w:p w:rsidR="00CF3D62" w:rsidRDefault="00CF3D62" w:rsidP="00FA0E70">
            <w:pPr>
              <w:jc w:val="both"/>
              <w:rPr>
                <w:b/>
                <w:noProof/>
              </w:rPr>
            </w:pPr>
          </w:p>
          <w:p w:rsidR="00980D3D" w:rsidRDefault="00CD2AD9" w:rsidP="00FA0E70">
            <w:pPr>
              <w:jc w:val="both"/>
              <w:rPr>
                <w:noProof/>
              </w:rPr>
            </w:pPr>
            <w:r w:rsidRPr="00CD2AD9">
              <w:rPr>
                <w:noProof/>
              </w:rPr>
              <w:t xml:space="preserve">3 </w:t>
            </w:r>
            <w:r w:rsidR="00980D3D">
              <w:rPr>
                <w:noProof/>
              </w:rPr>
              <w:t>–</w:t>
            </w:r>
            <w:r>
              <w:rPr>
                <w:b/>
                <w:noProof/>
              </w:rPr>
              <w:t xml:space="preserve"> </w:t>
            </w:r>
            <w:r w:rsidR="00980D3D" w:rsidRPr="00980D3D">
              <w:rPr>
                <w:noProof/>
              </w:rPr>
              <w:t xml:space="preserve">Proposer des modalités </w:t>
            </w:r>
            <w:r w:rsidR="00980D3D">
              <w:rPr>
                <w:noProof/>
              </w:rPr>
              <w:t xml:space="preserve">régionales </w:t>
            </w:r>
            <w:r w:rsidR="00980D3D" w:rsidRPr="00980D3D">
              <w:rPr>
                <w:noProof/>
              </w:rPr>
              <w:t xml:space="preserve">d’adaptation des recommandations </w:t>
            </w:r>
            <w:r w:rsidR="00980D3D">
              <w:rPr>
                <w:noProof/>
              </w:rPr>
              <w:t xml:space="preserve">nutritionelles </w:t>
            </w:r>
            <w:r w:rsidR="00980D3D" w:rsidRPr="00980D3D">
              <w:rPr>
                <w:noProof/>
              </w:rPr>
              <w:t xml:space="preserve">qui soient facilement comprises </w:t>
            </w:r>
            <w:r w:rsidR="00980D3D">
              <w:rPr>
                <w:noProof/>
              </w:rPr>
              <w:t>–</w:t>
            </w:r>
            <w:r w:rsidR="00980D3D" w:rsidRPr="00980D3D">
              <w:rPr>
                <w:noProof/>
              </w:rPr>
              <w:t xml:space="preserve"> </w:t>
            </w:r>
          </w:p>
          <w:p w:rsidR="00980D3D" w:rsidRDefault="00980D3D" w:rsidP="00FA0E70">
            <w:pPr>
              <w:jc w:val="both"/>
              <w:rPr>
                <w:noProof/>
              </w:rPr>
            </w:pPr>
          </w:p>
          <w:p w:rsidR="007B61E7" w:rsidRDefault="00980D3D" w:rsidP="00FA0E70">
            <w:pPr>
              <w:jc w:val="both"/>
              <w:rPr>
                <w:noProof/>
              </w:rPr>
            </w:pPr>
            <w:r>
              <w:rPr>
                <w:noProof/>
              </w:rPr>
              <w:t xml:space="preserve">4 </w:t>
            </w:r>
            <w:r w:rsidR="007B61E7">
              <w:rPr>
                <w:noProof/>
              </w:rPr>
              <w:t>–</w:t>
            </w:r>
            <w:r>
              <w:rPr>
                <w:noProof/>
              </w:rPr>
              <w:t xml:space="preserve"> </w:t>
            </w:r>
            <w:r w:rsidR="007B61E7">
              <w:rPr>
                <w:noProof/>
              </w:rPr>
              <w:t>Proposer des modalités d’adaptation régionales des recommandations nutritionnelles afin de les rendre accessibles par tous.</w:t>
            </w:r>
          </w:p>
          <w:p w:rsidR="007B61E7" w:rsidRDefault="007B61E7" w:rsidP="00FA0E70">
            <w:pPr>
              <w:jc w:val="both"/>
              <w:rPr>
                <w:noProof/>
              </w:rPr>
            </w:pPr>
          </w:p>
          <w:p w:rsidR="00915BF4" w:rsidRDefault="007B61E7" w:rsidP="00FA0E70">
            <w:pPr>
              <w:jc w:val="both"/>
              <w:rPr>
                <w:noProof/>
              </w:rPr>
            </w:pPr>
            <w:r>
              <w:rPr>
                <w:noProof/>
              </w:rPr>
              <w:t xml:space="preserve">5- Susciter des </w:t>
            </w:r>
            <w:r w:rsidR="00C624CC">
              <w:rPr>
                <w:noProof/>
              </w:rPr>
              <w:t>actions innovantes pour</w:t>
            </w:r>
            <w:r>
              <w:rPr>
                <w:noProof/>
              </w:rPr>
              <w:t xml:space="preserve"> améliorer la qualité de </w:t>
            </w:r>
            <w:r w:rsidR="00C624CC">
              <w:rPr>
                <w:noProof/>
              </w:rPr>
              <w:t>l’alimentation ambulante aux abords des établissements scolaires</w:t>
            </w:r>
            <w:r>
              <w:rPr>
                <w:noProof/>
              </w:rPr>
              <w:t>, et encourager l’offre d’aliments mois gras, moins sucrés et moins salés.</w:t>
            </w:r>
          </w:p>
          <w:p w:rsidR="00736957" w:rsidRDefault="00736957" w:rsidP="00FA0E70">
            <w:pPr>
              <w:jc w:val="both"/>
              <w:rPr>
                <w:noProof/>
              </w:rPr>
            </w:pPr>
          </w:p>
          <w:p w:rsidR="00915BF4" w:rsidRDefault="00D76E8C" w:rsidP="00FA0E70">
            <w:pPr>
              <w:jc w:val="both"/>
              <w:rPr>
                <w:noProof/>
              </w:rPr>
            </w:pPr>
            <w:r>
              <w:rPr>
                <w:noProof/>
              </w:rPr>
              <w:t>6</w:t>
            </w:r>
            <w:r w:rsidR="00C624CC">
              <w:rPr>
                <w:noProof/>
              </w:rPr>
              <w:t xml:space="preserve"> - </w:t>
            </w:r>
            <w:r>
              <w:rPr>
                <w:noProof/>
              </w:rPr>
              <w:t>R</w:t>
            </w:r>
            <w:r w:rsidR="00915BF4">
              <w:rPr>
                <w:noProof/>
              </w:rPr>
              <w:t xml:space="preserve">enforcement </w:t>
            </w:r>
            <w:r>
              <w:rPr>
                <w:noProof/>
              </w:rPr>
              <w:t>l</w:t>
            </w:r>
            <w:r w:rsidR="00915BF4">
              <w:rPr>
                <w:noProof/>
              </w:rPr>
              <w:t xml:space="preserve">es compétences </w:t>
            </w:r>
            <w:r w:rsidR="00F60B8B">
              <w:rPr>
                <w:noProof/>
              </w:rPr>
              <w:t xml:space="preserve">nutritionnelles </w:t>
            </w:r>
            <w:r w:rsidR="00915BF4">
              <w:rPr>
                <w:noProof/>
              </w:rPr>
              <w:t xml:space="preserve">des étudiants </w:t>
            </w:r>
            <w:r>
              <w:rPr>
                <w:noProof/>
              </w:rPr>
              <w:t xml:space="preserve">des métiers de bouche et </w:t>
            </w:r>
            <w:r w:rsidR="00915BF4">
              <w:rPr>
                <w:noProof/>
              </w:rPr>
              <w:t>de l’hôtellerie.</w:t>
            </w:r>
          </w:p>
          <w:p w:rsidR="00CF3D62" w:rsidRDefault="00CF3D62" w:rsidP="00FA0E70">
            <w:pPr>
              <w:jc w:val="both"/>
              <w:rPr>
                <w:b/>
                <w:noProof/>
              </w:rPr>
            </w:pPr>
          </w:p>
          <w:p w:rsidR="00915BF4" w:rsidRDefault="00D76E8C" w:rsidP="00FA0E70">
            <w:pPr>
              <w:jc w:val="both"/>
              <w:rPr>
                <w:noProof/>
              </w:rPr>
            </w:pPr>
            <w:r>
              <w:rPr>
                <w:noProof/>
              </w:rPr>
              <w:t>7</w:t>
            </w:r>
            <w:r w:rsidR="00736957" w:rsidRPr="00736957">
              <w:rPr>
                <w:noProof/>
              </w:rPr>
              <w:t xml:space="preserve"> -</w:t>
            </w:r>
            <w:r w:rsidR="00736957">
              <w:rPr>
                <w:b/>
                <w:noProof/>
              </w:rPr>
              <w:t xml:space="preserve"> </w:t>
            </w:r>
            <w:r w:rsidR="00915BF4">
              <w:rPr>
                <w:noProof/>
              </w:rPr>
              <w:t>Agir en faveur des populations vulnérables</w:t>
            </w:r>
          </w:p>
          <w:p w:rsidR="00915BF4" w:rsidRDefault="00915BF4" w:rsidP="00FA0E70">
            <w:pPr>
              <w:jc w:val="both"/>
              <w:rPr>
                <w:noProof/>
              </w:rPr>
            </w:pPr>
            <w:r>
              <w:rPr>
                <w:noProof/>
              </w:rPr>
              <w:t xml:space="preserve">Il s’agit de porter une attention particulière aux publics suivants : </w:t>
            </w:r>
          </w:p>
          <w:p w:rsidR="00915BF4" w:rsidRDefault="00915BF4" w:rsidP="00FA0E70">
            <w:pPr>
              <w:jc w:val="both"/>
              <w:rPr>
                <w:noProof/>
              </w:rPr>
            </w:pPr>
            <w:r>
              <w:rPr>
                <w:noProof/>
              </w:rPr>
              <w:t xml:space="preserve">• </w:t>
            </w:r>
            <w:r w:rsidR="00980D3D">
              <w:rPr>
                <w:noProof/>
              </w:rPr>
              <w:t>personnes placées sous main de justice</w:t>
            </w:r>
            <w:r>
              <w:rPr>
                <w:noProof/>
              </w:rPr>
              <w:t>,</w:t>
            </w:r>
          </w:p>
          <w:p w:rsidR="00915BF4" w:rsidRDefault="00915BF4" w:rsidP="00FA0E70">
            <w:pPr>
              <w:jc w:val="both"/>
              <w:rPr>
                <w:noProof/>
              </w:rPr>
            </w:pPr>
            <w:r>
              <w:rPr>
                <w:noProof/>
              </w:rPr>
              <w:t>• Personnes souffrant de handicaps,</w:t>
            </w:r>
          </w:p>
          <w:p w:rsidR="00915BF4" w:rsidRDefault="00915BF4" w:rsidP="00FA0E70">
            <w:pPr>
              <w:jc w:val="both"/>
              <w:rPr>
                <w:noProof/>
              </w:rPr>
            </w:pPr>
            <w:r>
              <w:rPr>
                <w:noProof/>
              </w:rPr>
              <w:t>• Personnes hospitalisées,</w:t>
            </w:r>
          </w:p>
          <w:p w:rsidR="00915BF4" w:rsidRDefault="00915BF4" w:rsidP="00FA0E70">
            <w:pPr>
              <w:jc w:val="both"/>
              <w:rPr>
                <w:noProof/>
              </w:rPr>
            </w:pPr>
            <w:r>
              <w:rPr>
                <w:noProof/>
              </w:rPr>
              <w:t>• Personnes en situation de précarité (socialement déficitaires),</w:t>
            </w:r>
          </w:p>
          <w:p w:rsidR="00915BF4" w:rsidRDefault="00915BF4" w:rsidP="00FA0E70">
            <w:pPr>
              <w:jc w:val="both"/>
              <w:rPr>
                <w:noProof/>
              </w:rPr>
            </w:pPr>
            <w:r>
              <w:rPr>
                <w:noProof/>
              </w:rPr>
              <w:t>• Personnes âgées.</w:t>
            </w:r>
          </w:p>
          <w:p w:rsidR="00915BF4" w:rsidRDefault="00915BF4" w:rsidP="00EA7E42">
            <w:pPr>
              <w:jc w:val="both"/>
            </w:pPr>
          </w:p>
          <w:p w:rsidR="00915BF4" w:rsidRDefault="00915BF4" w:rsidP="00EA7E42"/>
        </w:tc>
      </w:tr>
      <w:tr w:rsidR="00915BF4" w:rsidTr="00EA7E42">
        <w:tc>
          <w:tcPr>
            <w:tcW w:w="9212" w:type="dxa"/>
            <w:gridSpan w:val="2"/>
            <w:shd w:val="clear" w:color="auto" w:fill="C4BC96" w:themeFill="background2" w:themeFillShade="BF"/>
          </w:tcPr>
          <w:p w:rsidR="00915BF4" w:rsidRPr="00BF7105" w:rsidRDefault="00915BF4" w:rsidP="00EA7E42">
            <w:pPr>
              <w:rPr>
                <w:b/>
                <w:i/>
              </w:rPr>
            </w:pPr>
          </w:p>
          <w:p w:rsidR="00915BF4" w:rsidRPr="00BF7105" w:rsidRDefault="00915BF4" w:rsidP="00EA7E42">
            <w:pPr>
              <w:jc w:val="center"/>
              <w:rPr>
                <w:b/>
                <w:i/>
              </w:rPr>
            </w:pPr>
            <w:r w:rsidRPr="00BF7105">
              <w:rPr>
                <w:b/>
                <w:i/>
              </w:rPr>
              <w:t>Type d’actions</w:t>
            </w:r>
          </w:p>
          <w:p w:rsidR="00915BF4" w:rsidRDefault="00915BF4" w:rsidP="00EA7E42"/>
        </w:tc>
      </w:tr>
      <w:tr w:rsidR="00915BF4" w:rsidTr="00EA7E42">
        <w:tc>
          <w:tcPr>
            <w:tcW w:w="9212" w:type="dxa"/>
            <w:gridSpan w:val="2"/>
            <w:tcBorders>
              <w:bottom w:val="single" w:sz="4" w:space="0" w:color="000000" w:themeColor="text1"/>
            </w:tcBorders>
          </w:tcPr>
          <w:p w:rsidR="00915BF4" w:rsidRDefault="00915BF4" w:rsidP="00EA7E42"/>
          <w:p w:rsidR="00915BF4" w:rsidRDefault="00915BF4" w:rsidP="00FA0E70">
            <w:pPr>
              <w:jc w:val="both"/>
              <w:rPr>
                <w:noProof/>
              </w:rPr>
            </w:pPr>
            <w:r>
              <w:rPr>
                <w:noProof/>
              </w:rPr>
              <w:t xml:space="preserve">1- Actions d'information, de sensibilisation et de communication </w:t>
            </w:r>
          </w:p>
          <w:p w:rsidR="00915BF4" w:rsidRDefault="00915BF4" w:rsidP="00FA0E70">
            <w:pPr>
              <w:jc w:val="both"/>
              <w:rPr>
                <w:noProof/>
              </w:rPr>
            </w:pPr>
            <w:r>
              <w:rPr>
                <w:noProof/>
              </w:rPr>
              <w:t xml:space="preserve">2- Création d'outils pédagogiques. Exemples : courts métrages, pièce de théâtre - saynètes (sur la maladie, les risques, la nécessité de connaître son statut) </w:t>
            </w:r>
          </w:p>
          <w:p w:rsidR="00915BF4" w:rsidRDefault="00915BF4" w:rsidP="00FA0E70">
            <w:pPr>
              <w:jc w:val="both"/>
              <w:rPr>
                <w:noProof/>
              </w:rPr>
            </w:pPr>
            <w:r>
              <w:rPr>
                <w:noProof/>
              </w:rPr>
              <w:t xml:space="preserve">3- Actions de terrain, d’animation des quartiers </w:t>
            </w:r>
          </w:p>
          <w:p w:rsidR="00915BF4" w:rsidRDefault="00915BF4" w:rsidP="00FA0E70">
            <w:pPr>
              <w:jc w:val="both"/>
              <w:rPr>
                <w:noProof/>
              </w:rPr>
            </w:pPr>
            <w:r>
              <w:rPr>
                <w:noProof/>
              </w:rPr>
              <w:t>L’ARS sera attentive aux actions de prévention favorisant le partenariat avec les associations ou des professionnels de santé œuvrant dans le domaine de l’activité physique ou de l’alimentation.</w:t>
            </w:r>
          </w:p>
          <w:p w:rsidR="00915BF4" w:rsidRDefault="00915BF4" w:rsidP="00FA0E70">
            <w:pPr>
              <w:jc w:val="both"/>
              <w:rPr>
                <w:noProof/>
              </w:rPr>
            </w:pPr>
            <w:r>
              <w:rPr>
                <w:noProof/>
              </w:rPr>
              <w:t>L’agence s’engage à soutenir des projets innovants associant une équipe comprenant un ou des professionnels de santé afin d’assurer la validité des informations transmises et garantir la cohérence des projets avec la politique nationale et régionale de nutrition.</w:t>
            </w:r>
          </w:p>
          <w:p w:rsidR="00915BF4" w:rsidRDefault="00915BF4" w:rsidP="00EA7E42">
            <w:pPr>
              <w:jc w:val="both"/>
            </w:pPr>
          </w:p>
          <w:p w:rsidR="00915BF4" w:rsidRDefault="00915BF4" w:rsidP="00EA7E42"/>
        </w:tc>
      </w:tr>
      <w:tr w:rsidR="00915BF4" w:rsidTr="00EA7E42">
        <w:tc>
          <w:tcPr>
            <w:tcW w:w="9212" w:type="dxa"/>
            <w:gridSpan w:val="2"/>
            <w:shd w:val="clear" w:color="auto" w:fill="C4BC96" w:themeFill="background2" w:themeFillShade="BF"/>
          </w:tcPr>
          <w:p w:rsidR="00915BF4" w:rsidRPr="00BF7105" w:rsidRDefault="00915BF4" w:rsidP="00EA7E42">
            <w:pPr>
              <w:jc w:val="center"/>
              <w:rPr>
                <w:b/>
                <w:i/>
              </w:rPr>
            </w:pPr>
          </w:p>
          <w:p w:rsidR="00915BF4" w:rsidRPr="00BF7105" w:rsidRDefault="00915BF4" w:rsidP="00EA7E42">
            <w:pPr>
              <w:jc w:val="center"/>
              <w:rPr>
                <w:b/>
                <w:i/>
              </w:rPr>
            </w:pPr>
            <w:r w:rsidRPr="00BF7105">
              <w:rPr>
                <w:b/>
                <w:i/>
              </w:rPr>
              <w:t>Public Cible</w:t>
            </w:r>
          </w:p>
          <w:p w:rsidR="00915BF4" w:rsidRDefault="00915BF4" w:rsidP="00EA7E42"/>
        </w:tc>
      </w:tr>
      <w:tr w:rsidR="00915BF4" w:rsidTr="00EA7E42">
        <w:tc>
          <w:tcPr>
            <w:tcW w:w="9212" w:type="dxa"/>
            <w:gridSpan w:val="2"/>
            <w:tcBorders>
              <w:bottom w:val="single" w:sz="4" w:space="0" w:color="000000" w:themeColor="text1"/>
            </w:tcBorders>
          </w:tcPr>
          <w:p w:rsidR="00915BF4" w:rsidRDefault="00915BF4" w:rsidP="00EA7E42"/>
          <w:p w:rsidR="00915BF4" w:rsidRDefault="00915BF4" w:rsidP="00EA7E42">
            <w:pPr>
              <w:jc w:val="both"/>
            </w:pPr>
            <w:r>
              <w:rPr>
                <w:noProof/>
              </w:rPr>
              <w:t>Tous publics, jeunes enfants</w:t>
            </w:r>
            <w:r w:rsidR="00736957">
              <w:rPr>
                <w:noProof/>
              </w:rPr>
              <w:t>, femmes enceintes</w:t>
            </w:r>
            <w:r>
              <w:rPr>
                <w:noProof/>
              </w:rPr>
              <w:t xml:space="preserve"> et </w:t>
            </w:r>
            <w:r w:rsidR="00736957">
              <w:rPr>
                <w:noProof/>
              </w:rPr>
              <w:t>populations vulnérables</w:t>
            </w:r>
          </w:p>
          <w:p w:rsidR="00915BF4" w:rsidRDefault="00915BF4" w:rsidP="00EA7E42"/>
        </w:tc>
      </w:tr>
      <w:tr w:rsidR="00915BF4" w:rsidTr="00EA7E42">
        <w:tc>
          <w:tcPr>
            <w:tcW w:w="9212" w:type="dxa"/>
            <w:gridSpan w:val="2"/>
            <w:shd w:val="clear" w:color="auto" w:fill="C4BC96" w:themeFill="background2" w:themeFillShade="BF"/>
          </w:tcPr>
          <w:p w:rsidR="00915BF4" w:rsidRDefault="00915BF4" w:rsidP="00EA7E42"/>
          <w:p w:rsidR="00915BF4" w:rsidRPr="00BF7105" w:rsidRDefault="00915BF4" w:rsidP="00EA7E42">
            <w:pPr>
              <w:jc w:val="center"/>
              <w:rPr>
                <w:b/>
                <w:i/>
              </w:rPr>
            </w:pPr>
            <w:r w:rsidRPr="00BF7105">
              <w:rPr>
                <w:b/>
                <w:i/>
              </w:rPr>
              <w:t>Territoire</w:t>
            </w:r>
          </w:p>
          <w:p w:rsidR="00915BF4" w:rsidRDefault="00915BF4" w:rsidP="00EA7E42"/>
        </w:tc>
      </w:tr>
      <w:tr w:rsidR="00915BF4" w:rsidTr="00EA7E42">
        <w:tc>
          <w:tcPr>
            <w:tcW w:w="9212" w:type="dxa"/>
            <w:gridSpan w:val="2"/>
          </w:tcPr>
          <w:p w:rsidR="00915BF4" w:rsidRDefault="00915BF4" w:rsidP="00EA7E42"/>
          <w:p w:rsidR="00915BF4" w:rsidRDefault="00915BF4" w:rsidP="00736957">
            <w:pPr>
              <w:jc w:val="both"/>
            </w:pPr>
            <w:r>
              <w:rPr>
                <w:noProof/>
              </w:rPr>
              <w:t>Région Guadeloupe -Saint-Martin et Saint-Barthélemy</w:t>
            </w:r>
            <w:r w:rsidR="00736957">
              <w:t xml:space="preserve"> et en particulier les 18 quartiers prioritaires de la politiques de la ville. </w:t>
            </w:r>
          </w:p>
          <w:p w:rsidR="00736957" w:rsidRDefault="00736957" w:rsidP="00736957">
            <w:pPr>
              <w:jc w:val="both"/>
            </w:pPr>
          </w:p>
        </w:tc>
      </w:tr>
    </w:tbl>
    <w:p w:rsidR="00915BF4" w:rsidRDefault="00915BF4"/>
    <w:p w:rsidR="00915BF4" w:rsidRDefault="00915BF4" w:rsidP="00A456D5">
      <w:pPr>
        <w:jc w:val="center"/>
        <w:rPr>
          <w:rFonts w:eastAsia="Times New Roman" w:cstheme="minorHAnsi"/>
          <w:b/>
          <w:sz w:val="28"/>
          <w:szCs w:val="28"/>
          <w:lang w:eastAsia="fr-FR"/>
        </w:rPr>
      </w:pPr>
    </w:p>
    <w:p w:rsidR="00963880" w:rsidRDefault="00963880" w:rsidP="00963880">
      <w:pPr>
        <w:jc w:val="center"/>
        <w:rPr>
          <w:rFonts w:eastAsia="Times New Roman" w:cstheme="minorHAnsi"/>
          <w:lang w:eastAsia="fr-FR"/>
        </w:rPr>
      </w:pPr>
      <w:r>
        <w:rPr>
          <w:rFonts w:eastAsia="Times New Roman" w:cstheme="minorHAnsi"/>
          <w:b/>
          <w:sz w:val="28"/>
          <w:szCs w:val="28"/>
          <w:lang w:eastAsia="fr-FR"/>
        </w:rPr>
        <w:lastRenderedPageBreak/>
        <w:t>Contact :</w:t>
      </w:r>
      <w:r>
        <w:rPr>
          <w:rFonts w:eastAsia="Times New Roman" w:cstheme="minorHAnsi"/>
          <w:lang w:eastAsia="fr-FR"/>
        </w:rPr>
        <w:t xml:space="preserve"> </w:t>
      </w:r>
    </w:p>
    <w:p w:rsidR="00963880" w:rsidRDefault="00963880" w:rsidP="00963880">
      <w:pPr>
        <w:jc w:val="center"/>
        <w:rPr>
          <w:rFonts w:eastAsia="Times New Roman" w:cstheme="minorHAnsi"/>
          <w:lang w:eastAsia="fr-FR"/>
        </w:rPr>
      </w:pPr>
      <w:r>
        <w:rPr>
          <w:rFonts w:eastAsia="Times New Roman" w:cstheme="minorHAnsi"/>
          <w:lang w:eastAsia="fr-FR"/>
        </w:rPr>
        <w:t>M. Lionel BOULON</w:t>
      </w:r>
    </w:p>
    <w:p w:rsidR="00963880" w:rsidRDefault="00963880" w:rsidP="00963880">
      <w:pPr>
        <w:jc w:val="center"/>
        <w:rPr>
          <w:rFonts w:eastAsia="Times New Roman" w:cstheme="minorHAnsi"/>
          <w:lang w:eastAsia="fr-FR"/>
        </w:rPr>
      </w:pPr>
      <w:r>
        <w:rPr>
          <w:rFonts w:eastAsia="Times New Roman" w:cstheme="minorHAnsi"/>
          <w:lang w:eastAsia="fr-FR"/>
        </w:rPr>
        <w:t>Agence Régionale de Santé de Guadeloupe, Saint-Martin, Saint–Barthélemy</w:t>
      </w:r>
    </w:p>
    <w:p w:rsidR="00963880" w:rsidRDefault="00963880" w:rsidP="00963880">
      <w:pPr>
        <w:jc w:val="center"/>
        <w:rPr>
          <w:rFonts w:eastAsia="Times New Roman" w:cstheme="minorHAnsi"/>
          <w:lang w:eastAsia="fr-FR"/>
        </w:rPr>
      </w:pPr>
      <w:r>
        <w:rPr>
          <w:rFonts w:eastAsia="Times New Roman" w:cstheme="minorHAnsi"/>
          <w:lang w:eastAsia="fr-FR"/>
        </w:rPr>
        <w:t xml:space="preserve">Service </w:t>
      </w:r>
      <w:r>
        <w:rPr>
          <w:rFonts w:cstheme="minorHAnsi"/>
        </w:rPr>
        <w:t>Prévention Education et Promotion de la Santé</w:t>
      </w:r>
    </w:p>
    <w:p w:rsidR="00963880" w:rsidRDefault="00963880" w:rsidP="00963880">
      <w:pPr>
        <w:jc w:val="center"/>
        <w:rPr>
          <w:rFonts w:eastAsia="Times New Roman" w:cstheme="minorHAnsi"/>
          <w:lang w:eastAsia="fr-FR"/>
        </w:rPr>
      </w:pPr>
      <w:r>
        <w:rPr>
          <w:rFonts w:eastAsia="Times New Roman" w:cstheme="minorHAnsi"/>
          <w:lang w:eastAsia="fr-FR"/>
        </w:rPr>
        <w:t>Route des Archives</w:t>
      </w:r>
    </w:p>
    <w:p w:rsidR="00963880" w:rsidRDefault="00963880" w:rsidP="00963880">
      <w:pPr>
        <w:jc w:val="center"/>
        <w:rPr>
          <w:rFonts w:eastAsia="Times New Roman" w:cstheme="minorHAnsi"/>
          <w:lang w:eastAsia="fr-FR"/>
        </w:rPr>
      </w:pPr>
      <w:r>
        <w:rPr>
          <w:rFonts w:eastAsia="Times New Roman" w:cstheme="minorHAnsi"/>
          <w:lang w:eastAsia="fr-FR"/>
        </w:rPr>
        <w:t>97113 Gourbeyre</w:t>
      </w:r>
    </w:p>
    <w:p w:rsidR="00963880" w:rsidRDefault="00963880" w:rsidP="00963880">
      <w:pPr>
        <w:jc w:val="center"/>
        <w:rPr>
          <w:rFonts w:eastAsia="Times New Roman" w:cstheme="minorHAnsi"/>
          <w:lang w:eastAsia="fr-FR"/>
        </w:rPr>
      </w:pPr>
      <w:r>
        <w:rPr>
          <w:rFonts w:eastAsia="Times New Roman" w:cstheme="minorHAnsi"/>
          <w:lang w:eastAsia="fr-FR"/>
        </w:rPr>
        <w:t xml:space="preserve">Tel : 0590 99 </w:t>
      </w:r>
      <w:proofErr w:type="spellStart"/>
      <w:r>
        <w:rPr>
          <w:rFonts w:eastAsia="Times New Roman" w:cstheme="minorHAnsi"/>
          <w:lang w:eastAsia="fr-FR"/>
        </w:rPr>
        <w:t>99</w:t>
      </w:r>
      <w:proofErr w:type="spellEnd"/>
      <w:r>
        <w:rPr>
          <w:rFonts w:eastAsia="Times New Roman" w:cstheme="minorHAnsi"/>
          <w:lang w:eastAsia="fr-FR"/>
        </w:rPr>
        <w:t xml:space="preserve"> 65</w:t>
      </w:r>
    </w:p>
    <w:p w:rsidR="00963880" w:rsidRDefault="00963880" w:rsidP="00963880">
      <w:pPr>
        <w:jc w:val="center"/>
      </w:pPr>
      <w:r>
        <w:t xml:space="preserve">Les dossiers doivent être envoyés à l’adresse suivante : </w:t>
      </w:r>
      <w:hyperlink r:id="rId8" w:history="1">
        <w:r>
          <w:rPr>
            <w:rStyle w:val="Lienhypertexte"/>
            <w:rFonts w:cstheme="minorHAnsi"/>
          </w:rPr>
          <w:t>ARS971-PROMOTION-SANTE@ars.sante.fr</w:t>
        </w:r>
      </w:hyperlink>
    </w:p>
    <w:p w:rsidR="00915BF4" w:rsidRDefault="00156F3F" w:rsidP="00156F3F">
      <w:pPr>
        <w:jc w:val="center"/>
      </w:pPr>
      <w:r>
        <w:t>Se référer au guide du promoteur</w:t>
      </w:r>
    </w:p>
    <w:sectPr w:rsidR="00915BF4" w:rsidSect="00963880">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CC" w:rsidRDefault="00C624CC" w:rsidP="00EA7E42">
      <w:pPr>
        <w:spacing w:after="0" w:line="240" w:lineRule="auto"/>
      </w:pPr>
      <w:r>
        <w:separator/>
      </w:r>
    </w:p>
  </w:endnote>
  <w:endnote w:type="continuationSeparator" w:id="0">
    <w:p w:rsidR="00C624CC" w:rsidRDefault="00C624CC" w:rsidP="00EA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CC" w:rsidRDefault="00C624CC" w:rsidP="00EA7E42">
      <w:pPr>
        <w:spacing w:after="0" w:line="240" w:lineRule="auto"/>
      </w:pPr>
      <w:r>
        <w:separator/>
      </w:r>
    </w:p>
  </w:footnote>
  <w:footnote w:type="continuationSeparator" w:id="0">
    <w:p w:rsidR="00C624CC" w:rsidRDefault="00C624CC" w:rsidP="00EA7E42">
      <w:pPr>
        <w:spacing w:after="0" w:line="240" w:lineRule="auto"/>
      </w:pPr>
      <w:r>
        <w:continuationSeparator/>
      </w:r>
    </w:p>
  </w:footnote>
  <w:footnote w:id="1">
    <w:p w:rsidR="00C624CC" w:rsidRDefault="00C624CC">
      <w:pPr>
        <w:pStyle w:val="Notedebasdepage"/>
      </w:pPr>
      <w:r>
        <w:rPr>
          <w:rStyle w:val="Appelnotedebasdep"/>
        </w:rPr>
        <w:footnoteRef/>
      </w:r>
      <w:r>
        <w:t xml:space="preserve"> La nutrition s’entend comme l’équilibre entre les apports liés à l’alimentation et les dépenses occasionnées par l’activité physique.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CC" w:rsidRPr="00EA7E42" w:rsidRDefault="00C624CC" w:rsidP="008317C8">
    <w:pPr>
      <w:ind w:left="3828" w:right="992"/>
      <w:jc w:val="center"/>
      <w:rPr>
        <w:b/>
        <w:i/>
        <w:caps/>
      </w:rPr>
    </w:pPr>
    <w:r>
      <w:rPr>
        <w:b/>
        <w:i/>
        <w:caps/>
        <w:noProof/>
        <w:lang w:eastAsia="fr-FR"/>
      </w:rPr>
      <w:drawing>
        <wp:anchor distT="0" distB="0" distL="114300" distR="114300" simplePos="0" relativeHeight="251659264" behindDoc="0" locked="0" layoutInCell="1" allowOverlap="1">
          <wp:simplePos x="0" y="0"/>
          <wp:positionH relativeFrom="column">
            <wp:posOffset>-69215</wp:posOffset>
          </wp:positionH>
          <wp:positionV relativeFrom="paragraph">
            <wp:posOffset>47625</wp:posOffset>
          </wp:positionV>
          <wp:extent cx="1385570" cy="890905"/>
          <wp:effectExtent l="19050" t="0" r="5080" b="0"/>
          <wp:wrapNone/>
          <wp:docPr id="1" name="Image 1" descr="I:\POLESANTEPUBLIQUE\PEPS\2016\Logo ARS\AS_guadeloupe_CMJN_C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LESANTEPUBLIQUE\PEPS\2016\Logo ARS\AS_guadeloupe_CMJN_CS3.eps"/>
                  <pic:cNvPicPr>
                    <a:picLocks noChangeAspect="1" noChangeArrowheads="1"/>
                  </pic:cNvPicPr>
                </pic:nvPicPr>
                <pic:blipFill>
                  <a:blip r:embed="rId1" cstate="print"/>
                  <a:srcRect/>
                  <a:stretch>
                    <a:fillRect/>
                  </a:stretch>
                </pic:blipFill>
                <pic:spPr bwMode="auto">
                  <a:xfrm>
                    <a:off x="0" y="0"/>
                    <a:ext cx="1385570" cy="890905"/>
                  </a:xfrm>
                  <a:prstGeom prst="rect">
                    <a:avLst/>
                  </a:prstGeom>
                  <a:noFill/>
                  <a:ln w="9525">
                    <a:noFill/>
                    <a:miter lim="800000"/>
                    <a:headEnd/>
                    <a:tailEnd/>
                  </a:ln>
                </pic:spPr>
              </pic:pic>
            </a:graphicData>
          </a:graphic>
        </wp:anchor>
      </w:drawing>
    </w:r>
    <w:r w:rsidRPr="00EA7E42">
      <w:rPr>
        <w:b/>
        <w:i/>
        <w:caps/>
      </w:rPr>
      <w:t>Agence régionale de Santé Guadeloupe, Saint-Martin, Saint-barthélémy</w:t>
    </w:r>
  </w:p>
  <w:p w:rsidR="00C624CC" w:rsidRPr="00EA7E42" w:rsidRDefault="00C624CC" w:rsidP="008317C8">
    <w:pPr>
      <w:ind w:left="3828" w:right="992"/>
      <w:jc w:val="center"/>
      <w:rPr>
        <w:b/>
        <w:i/>
        <w:caps/>
      </w:rPr>
    </w:pPr>
    <w:r w:rsidRPr="00EA7E42">
      <w:rPr>
        <w:b/>
        <w:i/>
        <w:caps/>
      </w:rPr>
      <w:t>Appel à Projets actions prévention et promotion de la santé 2018</w:t>
    </w:r>
  </w:p>
  <w:p w:rsidR="00C624CC" w:rsidRDefault="00C624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02D9"/>
    <w:multiLevelType w:val="hybridMultilevel"/>
    <w:tmpl w:val="FEAA8308"/>
    <w:lvl w:ilvl="0" w:tplc="08E8038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0E3575"/>
    <w:rsid w:val="00043133"/>
    <w:rsid w:val="000E3575"/>
    <w:rsid w:val="0013428D"/>
    <w:rsid w:val="00156F3F"/>
    <w:rsid w:val="00261BD6"/>
    <w:rsid w:val="00292C8A"/>
    <w:rsid w:val="003C12AD"/>
    <w:rsid w:val="003D6558"/>
    <w:rsid w:val="004E4D44"/>
    <w:rsid w:val="00597EB4"/>
    <w:rsid w:val="00736957"/>
    <w:rsid w:val="0076074D"/>
    <w:rsid w:val="00792120"/>
    <w:rsid w:val="007B61E7"/>
    <w:rsid w:val="008317C8"/>
    <w:rsid w:val="00872471"/>
    <w:rsid w:val="00915BF4"/>
    <w:rsid w:val="00963880"/>
    <w:rsid w:val="00980D3D"/>
    <w:rsid w:val="00A456D5"/>
    <w:rsid w:val="00BF7105"/>
    <w:rsid w:val="00C624CC"/>
    <w:rsid w:val="00CD2AD9"/>
    <w:rsid w:val="00CF352E"/>
    <w:rsid w:val="00CF3D62"/>
    <w:rsid w:val="00D25331"/>
    <w:rsid w:val="00D76E8C"/>
    <w:rsid w:val="00EA7E42"/>
    <w:rsid w:val="00F60B8B"/>
    <w:rsid w:val="00FA0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3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3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575"/>
    <w:rPr>
      <w:rFonts w:ascii="Tahoma" w:hAnsi="Tahoma" w:cs="Tahoma"/>
      <w:sz w:val="16"/>
      <w:szCs w:val="16"/>
    </w:rPr>
  </w:style>
  <w:style w:type="paragraph" w:styleId="En-tte">
    <w:name w:val="header"/>
    <w:basedOn w:val="Normal"/>
    <w:link w:val="En-tteCar"/>
    <w:uiPriority w:val="99"/>
    <w:semiHidden/>
    <w:unhideWhenUsed/>
    <w:rsid w:val="00EA7E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7E42"/>
  </w:style>
  <w:style w:type="paragraph" w:styleId="Pieddepage">
    <w:name w:val="footer"/>
    <w:basedOn w:val="Normal"/>
    <w:link w:val="PieddepageCar"/>
    <w:uiPriority w:val="99"/>
    <w:semiHidden/>
    <w:unhideWhenUsed/>
    <w:rsid w:val="00EA7E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7E42"/>
  </w:style>
  <w:style w:type="character" w:styleId="Lienhypertexte">
    <w:name w:val="Hyperlink"/>
    <w:basedOn w:val="Policepardfaut"/>
    <w:uiPriority w:val="99"/>
    <w:unhideWhenUsed/>
    <w:rsid w:val="00A456D5"/>
    <w:rPr>
      <w:color w:val="0000FF" w:themeColor="hyperlink"/>
      <w:u w:val="single"/>
    </w:rPr>
  </w:style>
  <w:style w:type="paragraph" w:styleId="Paragraphedeliste">
    <w:name w:val="List Paragraph"/>
    <w:basedOn w:val="Normal"/>
    <w:uiPriority w:val="34"/>
    <w:qFormat/>
    <w:rsid w:val="00CF3D62"/>
    <w:pPr>
      <w:ind w:left="720"/>
      <w:contextualSpacing/>
    </w:pPr>
  </w:style>
  <w:style w:type="paragraph" w:styleId="Notedebasdepage">
    <w:name w:val="footnote text"/>
    <w:basedOn w:val="Normal"/>
    <w:link w:val="NotedebasdepageCar"/>
    <w:uiPriority w:val="99"/>
    <w:semiHidden/>
    <w:unhideWhenUsed/>
    <w:rsid w:val="00CF3D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3D62"/>
    <w:rPr>
      <w:sz w:val="20"/>
      <w:szCs w:val="20"/>
    </w:rPr>
  </w:style>
  <w:style w:type="character" w:styleId="Appelnotedebasdep">
    <w:name w:val="footnote reference"/>
    <w:basedOn w:val="Policepardfaut"/>
    <w:uiPriority w:val="99"/>
    <w:semiHidden/>
    <w:unhideWhenUsed/>
    <w:rsid w:val="00CF3D62"/>
    <w:rPr>
      <w:vertAlign w:val="superscript"/>
    </w:rPr>
  </w:style>
</w:styles>
</file>

<file path=word/webSettings.xml><?xml version="1.0" encoding="utf-8"?>
<w:webSettings xmlns:r="http://schemas.openxmlformats.org/officeDocument/2006/relationships" xmlns:w="http://schemas.openxmlformats.org/wordprocessingml/2006/main">
  <w:divs>
    <w:div w:id="16760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971-PROMOTION-SANTE@ars.sant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236D-36D3-4AD0-9851-C83DFFD6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653</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lboulon</dc:creator>
  <cp:lastModifiedBy>lboulon</cp:lastModifiedBy>
  <cp:revision>7</cp:revision>
  <cp:lastPrinted>2018-04-13T19:09:00Z</cp:lastPrinted>
  <dcterms:created xsi:type="dcterms:W3CDTF">2018-04-10T03:51:00Z</dcterms:created>
  <dcterms:modified xsi:type="dcterms:W3CDTF">2018-04-16T22:00:00Z</dcterms:modified>
</cp:coreProperties>
</file>