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412E5F" w:rsidTr="00EA7E42">
        <w:tc>
          <w:tcPr>
            <w:tcW w:w="1951" w:type="dxa"/>
            <w:tcBorders>
              <w:bottom w:val="single" w:sz="4" w:space="0" w:color="000000" w:themeColor="text1"/>
            </w:tcBorders>
            <w:shd w:val="clear" w:color="auto" w:fill="C4BC96" w:themeFill="background2" w:themeFillShade="BF"/>
          </w:tcPr>
          <w:p w:rsidR="00412E5F" w:rsidRDefault="00412E5F" w:rsidP="00EA7E42"/>
          <w:p w:rsidR="00412E5F" w:rsidRPr="00BF7105" w:rsidRDefault="00412E5F" w:rsidP="00EA7E42">
            <w:pPr>
              <w:rPr>
                <w:b/>
                <w:i/>
              </w:rPr>
            </w:pPr>
            <w:r w:rsidRPr="00BF7105">
              <w:rPr>
                <w:b/>
                <w:i/>
              </w:rPr>
              <w:t>Fiche thématique</w:t>
            </w:r>
          </w:p>
          <w:p w:rsidR="00412E5F" w:rsidRDefault="00412E5F" w:rsidP="00EA7E42"/>
        </w:tc>
        <w:tc>
          <w:tcPr>
            <w:tcW w:w="7261" w:type="dxa"/>
            <w:tcBorders>
              <w:bottom w:val="single" w:sz="4" w:space="0" w:color="000000" w:themeColor="text1"/>
            </w:tcBorders>
          </w:tcPr>
          <w:p w:rsidR="00412E5F" w:rsidRDefault="00412E5F" w:rsidP="00EA7E42"/>
          <w:p w:rsidR="00412E5F" w:rsidRPr="00EA7E42" w:rsidRDefault="00412E5F" w:rsidP="00EA7E42">
            <w:pPr>
              <w:rPr>
                <w:b/>
                <w:i/>
                <w:caps/>
                <w:u w:val="single"/>
              </w:rPr>
            </w:pPr>
            <w:r w:rsidRPr="00ED4E16">
              <w:rPr>
                <w:b/>
                <w:i/>
                <w:caps/>
                <w:noProof/>
                <w:u w:val="single"/>
              </w:rPr>
              <w:t>vaccination</w:t>
            </w:r>
          </w:p>
          <w:p w:rsidR="00412E5F" w:rsidRDefault="00412E5F" w:rsidP="00EA7E42"/>
        </w:tc>
      </w:tr>
      <w:tr w:rsidR="00412E5F" w:rsidTr="00EA7E42">
        <w:tc>
          <w:tcPr>
            <w:tcW w:w="9212" w:type="dxa"/>
            <w:gridSpan w:val="2"/>
            <w:shd w:val="clear" w:color="auto" w:fill="C4BC96" w:themeFill="background2" w:themeFillShade="BF"/>
          </w:tcPr>
          <w:p w:rsidR="00412E5F" w:rsidRDefault="00412E5F" w:rsidP="00EA7E42"/>
          <w:p w:rsidR="00412E5F" w:rsidRPr="00BF7105" w:rsidRDefault="00412E5F" w:rsidP="00EA7E42">
            <w:pPr>
              <w:jc w:val="center"/>
              <w:rPr>
                <w:b/>
                <w:i/>
              </w:rPr>
            </w:pPr>
            <w:r w:rsidRPr="00BF7105">
              <w:rPr>
                <w:b/>
                <w:i/>
              </w:rPr>
              <w:t>Contexte et objectifs</w:t>
            </w:r>
          </w:p>
          <w:p w:rsidR="00412E5F" w:rsidRDefault="00412E5F" w:rsidP="00EA7E42"/>
        </w:tc>
      </w:tr>
      <w:tr w:rsidR="00412E5F" w:rsidTr="00EA7E42">
        <w:tc>
          <w:tcPr>
            <w:tcW w:w="9212" w:type="dxa"/>
            <w:gridSpan w:val="2"/>
            <w:tcBorders>
              <w:bottom w:val="single" w:sz="4" w:space="0" w:color="000000" w:themeColor="text1"/>
            </w:tcBorders>
          </w:tcPr>
          <w:p w:rsidR="00412E5F" w:rsidRDefault="00412E5F" w:rsidP="00EA7E42"/>
          <w:p w:rsidR="00412E5F" w:rsidRDefault="00412E5F" w:rsidP="00FA0E70">
            <w:pPr>
              <w:jc w:val="both"/>
              <w:rPr>
                <w:noProof/>
              </w:rPr>
            </w:pPr>
            <w:r>
              <w:rPr>
                <w:noProof/>
              </w:rPr>
              <w:t>En France et dans le monde, la vaccination est reconnue comme l’intervention la plus efficace pour assurer une protection contre le</w:t>
            </w:r>
            <w:r w:rsidR="00506AE0">
              <w:rPr>
                <w:noProof/>
              </w:rPr>
              <w:t>s maladies infectieuses graves, pourtant l’institut Pasteur de la Guadeloupe note que le nombre de vaccinations a été divisé par trois au cours de ces 10 dernières années.</w:t>
            </w:r>
          </w:p>
          <w:p w:rsidR="00412E5F" w:rsidRDefault="00412E5F" w:rsidP="00FA0E70">
            <w:pPr>
              <w:jc w:val="both"/>
              <w:rPr>
                <w:noProof/>
              </w:rPr>
            </w:pPr>
            <w:r>
              <w:rPr>
                <w:noProof/>
              </w:rPr>
              <w:t>Selon les données du Baromètre santé 2016 réalisé par santé publique France, même si les français perçoivent l’efficacité de se faire vacciner, la couverture vaccinale chez l’adulte reste encore insuffisante : une personne sur 10 pense ne pas être à jour de ses vaccinations et une sur quatre pour les personnes âgées de 60 à 75 ans. Bien souvent, les rappels vaccinaux sont oubliés, or des rappels réguliers sont nécessaires, notamment pour les vaccins contre la diphtérie, le tétanos et la poliomyélite.</w:t>
            </w:r>
          </w:p>
          <w:p w:rsidR="00412E5F" w:rsidRDefault="00412E5F" w:rsidP="00FA0E70">
            <w:pPr>
              <w:jc w:val="both"/>
              <w:rPr>
                <w:noProof/>
              </w:rPr>
            </w:pPr>
            <w:r>
              <w:rPr>
                <w:noProof/>
              </w:rPr>
              <w:t>La Guadeloupe n’échappe pas à cette tendance, d’où la nécessité d’inciter les adultes à se faire vacciner, d’autant que les échanges entre l’hexagone, la Guadeloupe et la Caraïbe sont de plus en plus nombreux, ce qui rend cette tranche de la population, vulnérable aux maladies infectieuses prévisibles par la vaccination.</w:t>
            </w:r>
          </w:p>
          <w:p w:rsidR="00412E5F" w:rsidRDefault="00412E5F" w:rsidP="00EA7E42">
            <w:pPr>
              <w:jc w:val="both"/>
            </w:pPr>
          </w:p>
          <w:p w:rsidR="00412E5F" w:rsidRDefault="00412E5F" w:rsidP="00EA7E42"/>
        </w:tc>
      </w:tr>
      <w:tr w:rsidR="00412E5F" w:rsidTr="00EA7E42">
        <w:tc>
          <w:tcPr>
            <w:tcW w:w="9212" w:type="dxa"/>
            <w:gridSpan w:val="2"/>
            <w:tcBorders>
              <w:bottom w:val="single" w:sz="4" w:space="0" w:color="000000" w:themeColor="text1"/>
            </w:tcBorders>
            <w:shd w:val="clear" w:color="auto" w:fill="C4BC96" w:themeFill="background2" w:themeFillShade="BF"/>
          </w:tcPr>
          <w:p w:rsidR="00412E5F" w:rsidRDefault="00412E5F" w:rsidP="00EA7E42"/>
          <w:p w:rsidR="00412E5F" w:rsidRPr="00BF7105" w:rsidRDefault="00412E5F" w:rsidP="00EA7E42">
            <w:pPr>
              <w:jc w:val="center"/>
              <w:rPr>
                <w:b/>
                <w:i/>
              </w:rPr>
            </w:pPr>
            <w:r>
              <w:rPr>
                <w:b/>
                <w:i/>
              </w:rPr>
              <w:t>O</w:t>
            </w:r>
            <w:r w:rsidRPr="00BF7105">
              <w:rPr>
                <w:b/>
                <w:i/>
              </w:rPr>
              <w:t>bjectifs</w:t>
            </w:r>
          </w:p>
          <w:p w:rsidR="00412E5F" w:rsidRDefault="00412E5F" w:rsidP="00EA7E42"/>
        </w:tc>
      </w:tr>
      <w:tr w:rsidR="00412E5F" w:rsidTr="00EA7E42">
        <w:tc>
          <w:tcPr>
            <w:tcW w:w="9212" w:type="dxa"/>
            <w:gridSpan w:val="2"/>
            <w:tcBorders>
              <w:bottom w:val="single" w:sz="4" w:space="0" w:color="000000" w:themeColor="text1"/>
            </w:tcBorders>
          </w:tcPr>
          <w:p w:rsidR="00412E5F" w:rsidRDefault="00412E5F" w:rsidP="00EA7E42"/>
          <w:p w:rsidR="00412E5F" w:rsidRDefault="00412E5F" w:rsidP="00EA7E42">
            <w:pPr>
              <w:jc w:val="both"/>
            </w:pPr>
            <w:r>
              <w:rPr>
                <w:noProof/>
              </w:rPr>
              <w:t>Promouvoir la vaccination chez l’adulte</w:t>
            </w:r>
          </w:p>
          <w:p w:rsidR="00412E5F" w:rsidRDefault="00412E5F" w:rsidP="00EA7E42"/>
        </w:tc>
      </w:tr>
      <w:tr w:rsidR="00412E5F" w:rsidTr="00EA7E42">
        <w:tc>
          <w:tcPr>
            <w:tcW w:w="9212" w:type="dxa"/>
            <w:gridSpan w:val="2"/>
            <w:shd w:val="clear" w:color="auto" w:fill="C4BC96" w:themeFill="background2" w:themeFillShade="BF"/>
          </w:tcPr>
          <w:p w:rsidR="00412E5F" w:rsidRPr="00BF7105" w:rsidRDefault="00412E5F" w:rsidP="00EA7E42">
            <w:pPr>
              <w:rPr>
                <w:b/>
                <w:i/>
              </w:rPr>
            </w:pPr>
          </w:p>
          <w:p w:rsidR="00412E5F" w:rsidRPr="00BF7105" w:rsidRDefault="00412E5F" w:rsidP="00EA7E42">
            <w:pPr>
              <w:jc w:val="center"/>
              <w:rPr>
                <w:b/>
                <w:i/>
              </w:rPr>
            </w:pPr>
            <w:r w:rsidRPr="00BF7105">
              <w:rPr>
                <w:b/>
                <w:i/>
              </w:rPr>
              <w:t>Type d’actions</w:t>
            </w:r>
          </w:p>
          <w:p w:rsidR="00412E5F" w:rsidRDefault="00412E5F" w:rsidP="00EA7E42"/>
        </w:tc>
      </w:tr>
      <w:tr w:rsidR="00412E5F" w:rsidTr="00EA7E42">
        <w:tc>
          <w:tcPr>
            <w:tcW w:w="9212" w:type="dxa"/>
            <w:gridSpan w:val="2"/>
            <w:tcBorders>
              <w:bottom w:val="single" w:sz="4" w:space="0" w:color="000000" w:themeColor="text1"/>
            </w:tcBorders>
          </w:tcPr>
          <w:p w:rsidR="00412E5F" w:rsidRDefault="00412E5F" w:rsidP="00EA7E42"/>
          <w:p w:rsidR="00412E5F" w:rsidRDefault="00412E5F" w:rsidP="00FA0E70">
            <w:pPr>
              <w:jc w:val="both"/>
              <w:rPr>
                <w:noProof/>
              </w:rPr>
            </w:pPr>
            <w:r>
              <w:rPr>
                <w:noProof/>
              </w:rPr>
              <w:t>1- Action de communication : courts métrages, pièces de théâtre, jeux éducatifs (pour adultes).</w:t>
            </w:r>
          </w:p>
          <w:p w:rsidR="00412E5F" w:rsidRDefault="00412E5F" w:rsidP="00FA0E70">
            <w:pPr>
              <w:jc w:val="both"/>
              <w:rPr>
                <w:noProof/>
              </w:rPr>
            </w:pPr>
            <w:r>
              <w:rPr>
                <w:noProof/>
              </w:rPr>
              <w:t>2- Création d’outils de communication adaptés au contexte local et à la population adulte.</w:t>
            </w:r>
          </w:p>
          <w:p w:rsidR="00412E5F" w:rsidRDefault="00412E5F" w:rsidP="00FA0E70">
            <w:pPr>
              <w:jc w:val="both"/>
              <w:rPr>
                <w:noProof/>
              </w:rPr>
            </w:pPr>
            <w:r>
              <w:rPr>
                <w:noProof/>
              </w:rPr>
              <w:t>3- Action d’information et de sensibilisation de la population</w:t>
            </w:r>
          </w:p>
          <w:p w:rsidR="00412E5F" w:rsidRDefault="00412E5F" w:rsidP="00EA7E42">
            <w:pPr>
              <w:jc w:val="both"/>
            </w:pPr>
          </w:p>
          <w:p w:rsidR="00412E5F" w:rsidRDefault="00412E5F" w:rsidP="00EA7E42"/>
        </w:tc>
      </w:tr>
      <w:tr w:rsidR="00412E5F" w:rsidTr="00EA7E42">
        <w:tc>
          <w:tcPr>
            <w:tcW w:w="9212" w:type="dxa"/>
            <w:gridSpan w:val="2"/>
            <w:shd w:val="clear" w:color="auto" w:fill="C4BC96" w:themeFill="background2" w:themeFillShade="BF"/>
          </w:tcPr>
          <w:p w:rsidR="00412E5F" w:rsidRPr="00BF7105" w:rsidRDefault="00412E5F" w:rsidP="00EA7E42">
            <w:pPr>
              <w:jc w:val="center"/>
              <w:rPr>
                <w:b/>
                <w:i/>
              </w:rPr>
            </w:pPr>
          </w:p>
          <w:p w:rsidR="00412E5F" w:rsidRPr="00BF7105" w:rsidRDefault="00412E5F" w:rsidP="00EA7E42">
            <w:pPr>
              <w:jc w:val="center"/>
              <w:rPr>
                <w:b/>
                <w:i/>
              </w:rPr>
            </w:pPr>
            <w:r w:rsidRPr="00BF7105">
              <w:rPr>
                <w:b/>
                <w:i/>
              </w:rPr>
              <w:t>Public Cible</w:t>
            </w:r>
          </w:p>
          <w:p w:rsidR="00412E5F" w:rsidRDefault="00412E5F" w:rsidP="00EA7E42"/>
        </w:tc>
      </w:tr>
      <w:tr w:rsidR="00412E5F" w:rsidTr="00EA7E42">
        <w:tc>
          <w:tcPr>
            <w:tcW w:w="9212" w:type="dxa"/>
            <w:gridSpan w:val="2"/>
            <w:tcBorders>
              <w:bottom w:val="single" w:sz="4" w:space="0" w:color="000000" w:themeColor="text1"/>
            </w:tcBorders>
          </w:tcPr>
          <w:p w:rsidR="00412E5F" w:rsidRDefault="00412E5F" w:rsidP="00EA7E42"/>
          <w:p w:rsidR="00412E5F" w:rsidRDefault="00412E5F" w:rsidP="00EA7E42">
            <w:pPr>
              <w:jc w:val="both"/>
            </w:pPr>
            <w:r>
              <w:rPr>
                <w:noProof/>
              </w:rPr>
              <w:t>Population adulte</w:t>
            </w:r>
          </w:p>
          <w:p w:rsidR="00412E5F" w:rsidRDefault="00412E5F" w:rsidP="00EA7E42"/>
        </w:tc>
      </w:tr>
      <w:tr w:rsidR="00412E5F" w:rsidTr="00EA7E42">
        <w:tc>
          <w:tcPr>
            <w:tcW w:w="9212" w:type="dxa"/>
            <w:gridSpan w:val="2"/>
            <w:shd w:val="clear" w:color="auto" w:fill="C4BC96" w:themeFill="background2" w:themeFillShade="BF"/>
          </w:tcPr>
          <w:p w:rsidR="00412E5F" w:rsidRDefault="00412E5F" w:rsidP="00EA7E42"/>
          <w:p w:rsidR="00412E5F" w:rsidRPr="00BF7105" w:rsidRDefault="00412E5F" w:rsidP="00EA7E42">
            <w:pPr>
              <w:jc w:val="center"/>
              <w:rPr>
                <w:b/>
                <w:i/>
              </w:rPr>
            </w:pPr>
            <w:r w:rsidRPr="00BF7105">
              <w:rPr>
                <w:b/>
                <w:i/>
              </w:rPr>
              <w:t>Territoire</w:t>
            </w:r>
          </w:p>
          <w:p w:rsidR="00412E5F" w:rsidRDefault="00412E5F" w:rsidP="00EA7E42"/>
        </w:tc>
      </w:tr>
      <w:tr w:rsidR="00412E5F" w:rsidTr="00EA7E42">
        <w:tc>
          <w:tcPr>
            <w:tcW w:w="9212" w:type="dxa"/>
            <w:gridSpan w:val="2"/>
          </w:tcPr>
          <w:p w:rsidR="00412E5F" w:rsidRDefault="00412E5F" w:rsidP="00EA7E42"/>
          <w:p w:rsidR="00412E5F" w:rsidRDefault="00412E5F" w:rsidP="00EA7E42">
            <w:pPr>
              <w:jc w:val="both"/>
            </w:pPr>
            <w:r>
              <w:rPr>
                <w:noProof/>
              </w:rPr>
              <w:t>Région Guadeloupe -Saint-Martin et Saint-Barthélemy</w:t>
            </w:r>
          </w:p>
          <w:p w:rsidR="00412E5F" w:rsidRDefault="00412E5F" w:rsidP="00EA7E42"/>
        </w:tc>
      </w:tr>
    </w:tbl>
    <w:p w:rsidR="00412E5F" w:rsidRDefault="00412E5F"/>
    <w:p w:rsidR="008D4D57" w:rsidRDefault="008D4D57" w:rsidP="008D4D57">
      <w:pPr>
        <w:jc w:val="center"/>
        <w:rPr>
          <w:rFonts w:eastAsia="Times New Roman" w:cstheme="minorHAnsi"/>
          <w:lang w:eastAsia="fr-FR"/>
        </w:rPr>
      </w:pPr>
      <w:r>
        <w:rPr>
          <w:rFonts w:eastAsia="Times New Roman" w:cstheme="minorHAnsi"/>
          <w:b/>
          <w:sz w:val="28"/>
          <w:szCs w:val="28"/>
          <w:lang w:eastAsia="fr-FR"/>
        </w:rPr>
        <w:t>Contact :</w:t>
      </w:r>
      <w:r>
        <w:rPr>
          <w:rFonts w:eastAsia="Times New Roman" w:cstheme="minorHAnsi"/>
          <w:lang w:eastAsia="fr-FR"/>
        </w:rPr>
        <w:t xml:space="preserve"> </w:t>
      </w:r>
    </w:p>
    <w:p w:rsidR="008D4D57" w:rsidRDefault="008D4D57" w:rsidP="008D4D57">
      <w:pPr>
        <w:jc w:val="center"/>
        <w:rPr>
          <w:rFonts w:eastAsia="Times New Roman" w:cstheme="minorHAnsi"/>
          <w:lang w:eastAsia="fr-FR"/>
        </w:rPr>
      </w:pPr>
      <w:r>
        <w:rPr>
          <w:rFonts w:eastAsia="Times New Roman" w:cstheme="minorHAnsi"/>
          <w:lang w:eastAsia="fr-FR"/>
        </w:rPr>
        <w:t>M. Lionel BOULON</w:t>
      </w:r>
    </w:p>
    <w:p w:rsidR="008D4D57" w:rsidRDefault="008D4D57" w:rsidP="008D4D57">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8D4D57" w:rsidRDefault="008D4D57" w:rsidP="008D4D57">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8D4D57" w:rsidRDefault="008D4D57" w:rsidP="008D4D57">
      <w:pPr>
        <w:jc w:val="center"/>
        <w:rPr>
          <w:rFonts w:eastAsia="Times New Roman" w:cstheme="minorHAnsi"/>
          <w:lang w:eastAsia="fr-FR"/>
        </w:rPr>
      </w:pPr>
      <w:r>
        <w:rPr>
          <w:rFonts w:eastAsia="Times New Roman" w:cstheme="minorHAnsi"/>
          <w:lang w:eastAsia="fr-FR"/>
        </w:rPr>
        <w:t>Route des Archives</w:t>
      </w:r>
    </w:p>
    <w:p w:rsidR="008D4D57" w:rsidRDefault="008D4D57" w:rsidP="008D4D57">
      <w:pPr>
        <w:jc w:val="center"/>
        <w:rPr>
          <w:rFonts w:eastAsia="Times New Roman" w:cstheme="minorHAnsi"/>
          <w:lang w:eastAsia="fr-FR"/>
        </w:rPr>
      </w:pPr>
      <w:r>
        <w:rPr>
          <w:rFonts w:eastAsia="Times New Roman" w:cstheme="minorHAnsi"/>
          <w:lang w:eastAsia="fr-FR"/>
        </w:rPr>
        <w:t>97113 Gourbeyre</w:t>
      </w:r>
    </w:p>
    <w:p w:rsidR="008D4D57" w:rsidRDefault="008D4D57" w:rsidP="008D4D57">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8D4D57" w:rsidRDefault="008D4D57" w:rsidP="008D4D57">
      <w:pPr>
        <w:jc w:val="center"/>
      </w:pPr>
      <w:r>
        <w:t xml:space="preserve">Les dossiers doivent être envoyés à l’adresse suivante : </w:t>
      </w:r>
      <w:hyperlink r:id="rId7" w:history="1">
        <w:r>
          <w:rPr>
            <w:rStyle w:val="Lienhypertexte"/>
            <w:rFonts w:cstheme="minorHAnsi"/>
          </w:rPr>
          <w:t>ARS971-PROMOTION-SANTE@ars.sante.fr</w:t>
        </w:r>
      </w:hyperlink>
    </w:p>
    <w:p w:rsidR="008D4D57" w:rsidRDefault="008D4D57" w:rsidP="008D4D57">
      <w:pPr>
        <w:jc w:val="center"/>
      </w:pPr>
      <w:r>
        <w:t>Se référer au guide du promoteur</w:t>
      </w:r>
    </w:p>
    <w:p w:rsidR="00412E5F" w:rsidRDefault="00412E5F">
      <w:pPr>
        <w:sectPr w:rsidR="00412E5F" w:rsidSect="00412E5F">
          <w:headerReference w:type="first" r:id="rId8"/>
          <w:pgSz w:w="11906" w:h="16838"/>
          <w:pgMar w:top="1417" w:right="1417" w:bottom="1417" w:left="1417" w:header="708" w:footer="708" w:gutter="0"/>
          <w:pgNumType w:start="1"/>
          <w:cols w:space="708"/>
          <w:titlePg/>
          <w:docGrid w:linePitch="360"/>
        </w:sectPr>
      </w:pPr>
    </w:p>
    <w:p w:rsidR="00412E5F" w:rsidRDefault="00412E5F"/>
    <w:sectPr w:rsidR="00412E5F" w:rsidSect="00412E5F">
      <w:headerReference w:type="first" r:id="rId9"/>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C6" w:rsidRDefault="00354AC6" w:rsidP="00EA7E42">
      <w:pPr>
        <w:spacing w:after="0" w:line="240" w:lineRule="auto"/>
      </w:pPr>
      <w:r>
        <w:separator/>
      </w:r>
    </w:p>
  </w:endnote>
  <w:endnote w:type="continuationSeparator" w:id="0">
    <w:p w:rsidR="00354AC6" w:rsidRDefault="00354AC6"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C6" w:rsidRDefault="00354AC6" w:rsidP="00EA7E42">
      <w:pPr>
        <w:spacing w:after="0" w:line="240" w:lineRule="auto"/>
      </w:pPr>
      <w:r>
        <w:separator/>
      </w:r>
    </w:p>
  </w:footnote>
  <w:footnote w:type="continuationSeparator" w:id="0">
    <w:p w:rsidR="00354AC6" w:rsidRDefault="00354AC6" w:rsidP="00EA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5F" w:rsidRPr="00EA7E42" w:rsidRDefault="00412E5F"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412E5F" w:rsidRPr="00EA7E42" w:rsidRDefault="00412E5F" w:rsidP="008317C8">
    <w:pPr>
      <w:ind w:left="3828" w:right="992"/>
      <w:jc w:val="center"/>
      <w:rPr>
        <w:b/>
        <w:i/>
        <w:caps/>
      </w:rPr>
    </w:pPr>
    <w:r w:rsidRPr="00EA7E42">
      <w:rPr>
        <w:b/>
        <w:i/>
        <w:caps/>
      </w:rPr>
      <w:t>Appel à Projets actions prévention et promotion de la santé 2018</w:t>
    </w:r>
  </w:p>
  <w:p w:rsidR="00412E5F" w:rsidRDefault="00412E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7C8" w:rsidRPr="00EA7E42" w:rsidRDefault="008317C8"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8317C8" w:rsidRPr="00EA7E42" w:rsidRDefault="008317C8" w:rsidP="008317C8">
    <w:pPr>
      <w:ind w:left="3828" w:right="992"/>
      <w:jc w:val="center"/>
      <w:rPr>
        <w:b/>
        <w:i/>
        <w:caps/>
      </w:rPr>
    </w:pPr>
    <w:r w:rsidRPr="00EA7E42">
      <w:rPr>
        <w:b/>
        <w:i/>
        <w:caps/>
      </w:rPr>
      <w:t>Appel à Projets actions prévention et promotion de la santé 2018</w:t>
    </w:r>
  </w:p>
  <w:p w:rsidR="008317C8" w:rsidRDefault="008317C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0E3575"/>
    <w:rsid w:val="000E3575"/>
    <w:rsid w:val="00255CC1"/>
    <w:rsid w:val="00354AC6"/>
    <w:rsid w:val="003C12AD"/>
    <w:rsid w:val="003D6558"/>
    <w:rsid w:val="00412E5F"/>
    <w:rsid w:val="004E4D44"/>
    <w:rsid w:val="00506AE0"/>
    <w:rsid w:val="00663D99"/>
    <w:rsid w:val="0076074D"/>
    <w:rsid w:val="00792120"/>
    <w:rsid w:val="008317C8"/>
    <w:rsid w:val="00872471"/>
    <w:rsid w:val="008D4D57"/>
    <w:rsid w:val="00A456D5"/>
    <w:rsid w:val="00BF7105"/>
    <w:rsid w:val="00CF352E"/>
    <w:rsid w:val="00D25331"/>
    <w:rsid w:val="00EA7E42"/>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35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971-PROMOTION-SANTE@ars.sant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6EDF-624F-4D25-B941-44A50461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311</Words>
  <Characters>1715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3</cp:revision>
  <cp:lastPrinted>2018-04-13T19:21:00Z</cp:lastPrinted>
  <dcterms:created xsi:type="dcterms:W3CDTF">2018-04-10T03:54:00Z</dcterms:created>
  <dcterms:modified xsi:type="dcterms:W3CDTF">2018-04-13T19:21:00Z</dcterms:modified>
</cp:coreProperties>
</file>