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417"/>
        <w:tblW w:w="0" w:type="auto"/>
        <w:tblLook w:val="04A0"/>
      </w:tblPr>
      <w:tblGrid>
        <w:gridCol w:w="1951"/>
        <w:gridCol w:w="7261"/>
      </w:tblGrid>
      <w:tr w:rsidR="006566BE" w:rsidTr="00EA7E42">
        <w:tc>
          <w:tcPr>
            <w:tcW w:w="1951" w:type="dxa"/>
            <w:tcBorders>
              <w:bottom w:val="single" w:sz="4" w:space="0" w:color="000000" w:themeColor="text1"/>
            </w:tcBorders>
            <w:shd w:val="clear" w:color="auto" w:fill="C4BC96" w:themeFill="background2" w:themeFillShade="BF"/>
          </w:tcPr>
          <w:p w:rsidR="006566BE" w:rsidRDefault="006566BE" w:rsidP="00EA7E42"/>
          <w:p w:rsidR="006566BE" w:rsidRPr="00BF7105" w:rsidRDefault="006566BE" w:rsidP="00EA7E42">
            <w:pPr>
              <w:rPr>
                <w:b/>
                <w:i/>
              </w:rPr>
            </w:pPr>
            <w:r w:rsidRPr="00BF7105">
              <w:rPr>
                <w:b/>
                <w:i/>
              </w:rPr>
              <w:t>Fiche thématique</w:t>
            </w:r>
          </w:p>
          <w:p w:rsidR="006566BE" w:rsidRDefault="006566BE" w:rsidP="00EA7E42"/>
        </w:tc>
        <w:tc>
          <w:tcPr>
            <w:tcW w:w="7261" w:type="dxa"/>
            <w:tcBorders>
              <w:bottom w:val="single" w:sz="4" w:space="0" w:color="000000" w:themeColor="text1"/>
            </w:tcBorders>
          </w:tcPr>
          <w:p w:rsidR="006566BE" w:rsidRDefault="006566BE" w:rsidP="00EA7E42"/>
          <w:p w:rsidR="006566BE" w:rsidRPr="00EA7E42" w:rsidRDefault="006566BE" w:rsidP="00EA7E42">
            <w:pPr>
              <w:rPr>
                <w:b/>
                <w:i/>
                <w:caps/>
                <w:u w:val="single"/>
              </w:rPr>
            </w:pPr>
            <w:r w:rsidRPr="00ED4E16">
              <w:rPr>
                <w:b/>
                <w:i/>
                <w:caps/>
                <w:noProof/>
                <w:u w:val="single"/>
              </w:rPr>
              <w:t>Santé sexuelle</w:t>
            </w:r>
          </w:p>
          <w:p w:rsidR="006566BE" w:rsidRDefault="006566BE" w:rsidP="00EA7E42"/>
        </w:tc>
      </w:tr>
      <w:tr w:rsidR="006566BE" w:rsidTr="00EA7E42">
        <w:tc>
          <w:tcPr>
            <w:tcW w:w="9212" w:type="dxa"/>
            <w:gridSpan w:val="2"/>
            <w:shd w:val="clear" w:color="auto" w:fill="C4BC96" w:themeFill="background2" w:themeFillShade="BF"/>
          </w:tcPr>
          <w:p w:rsidR="006566BE" w:rsidRDefault="006566BE" w:rsidP="00EA7E42"/>
          <w:p w:rsidR="006566BE" w:rsidRPr="00BF7105" w:rsidRDefault="006566BE" w:rsidP="00EA7E42">
            <w:pPr>
              <w:jc w:val="center"/>
              <w:rPr>
                <w:b/>
                <w:i/>
              </w:rPr>
            </w:pPr>
            <w:r w:rsidRPr="00BF7105">
              <w:rPr>
                <w:b/>
                <w:i/>
              </w:rPr>
              <w:t>Contexte et objectifs</w:t>
            </w:r>
          </w:p>
          <w:p w:rsidR="006566BE" w:rsidRDefault="006566BE" w:rsidP="00EA7E42"/>
        </w:tc>
      </w:tr>
      <w:tr w:rsidR="006566BE" w:rsidTr="00EA7E42">
        <w:tc>
          <w:tcPr>
            <w:tcW w:w="9212" w:type="dxa"/>
            <w:gridSpan w:val="2"/>
            <w:tcBorders>
              <w:bottom w:val="single" w:sz="4" w:space="0" w:color="000000" w:themeColor="text1"/>
            </w:tcBorders>
          </w:tcPr>
          <w:p w:rsidR="006566BE" w:rsidRDefault="006566BE" w:rsidP="00EA7E42"/>
          <w:p w:rsidR="006566BE" w:rsidRDefault="006566BE" w:rsidP="00EA7E42">
            <w:pPr>
              <w:jc w:val="both"/>
            </w:pPr>
            <w:r>
              <w:rPr>
                <w:noProof/>
              </w:rPr>
              <w:t>Notre région est la deuxième la plus touchée de France par les infections aux IST notamment le VIH (avis et recommandations du Conseil Nationale du Sida et des Hépatites Virales, 2018). Par ailleurs, le nombre de grossesses chez les mineures, bien que stable, reste plus important qu’en France hexagonale. Nous appuyant sur la stratégie nationale de santé sexuelle 2017-2030 et sur notre PRS2, cet appel à projets met l’accent sur la santé des jeunes.</w:t>
            </w:r>
          </w:p>
          <w:p w:rsidR="006566BE" w:rsidRDefault="006566BE" w:rsidP="00EA7E42"/>
        </w:tc>
      </w:tr>
      <w:tr w:rsidR="006566BE" w:rsidTr="00EA7E42">
        <w:tc>
          <w:tcPr>
            <w:tcW w:w="9212" w:type="dxa"/>
            <w:gridSpan w:val="2"/>
            <w:tcBorders>
              <w:bottom w:val="single" w:sz="4" w:space="0" w:color="000000" w:themeColor="text1"/>
            </w:tcBorders>
            <w:shd w:val="clear" w:color="auto" w:fill="C4BC96" w:themeFill="background2" w:themeFillShade="BF"/>
          </w:tcPr>
          <w:p w:rsidR="006566BE" w:rsidRDefault="006566BE" w:rsidP="00EA7E42"/>
          <w:p w:rsidR="006566BE" w:rsidRPr="00BF7105" w:rsidRDefault="006566BE" w:rsidP="00EA7E42">
            <w:pPr>
              <w:jc w:val="center"/>
              <w:rPr>
                <w:b/>
                <w:i/>
              </w:rPr>
            </w:pPr>
            <w:r>
              <w:rPr>
                <w:b/>
                <w:i/>
              </w:rPr>
              <w:t>O</w:t>
            </w:r>
            <w:r w:rsidRPr="00BF7105">
              <w:rPr>
                <w:b/>
                <w:i/>
              </w:rPr>
              <w:t>bjectifs</w:t>
            </w:r>
          </w:p>
          <w:p w:rsidR="006566BE" w:rsidRDefault="006566BE" w:rsidP="00EA7E42"/>
        </w:tc>
      </w:tr>
      <w:tr w:rsidR="006566BE" w:rsidTr="00EA7E42">
        <w:tc>
          <w:tcPr>
            <w:tcW w:w="9212" w:type="dxa"/>
            <w:gridSpan w:val="2"/>
            <w:tcBorders>
              <w:bottom w:val="single" w:sz="4" w:space="0" w:color="000000" w:themeColor="text1"/>
            </w:tcBorders>
          </w:tcPr>
          <w:p w:rsidR="006566BE" w:rsidRDefault="006566BE" w:rsidP="00EA7E42"/>
          <w:p w:rsidR="006566BE" w:rsidRDefault="006566BE" w:rsidP="00FA0E70">
            <w:pPr>
              <w:jc w:val="both"/>
              <w:rPr>
                <w:noProof/>
              </w:rPr>
            </w:pPr>
            <w:r>
              <w:rPr>
                <w:noProof/>
              </w:rPr>
              <w:t>1- Améliorer l’information en santé sexuelle et l’appropriation de la prévention dans le but de favoriser les changements de comportements.</w:t>
            </w:r>
          </w:p>
          <w:p w:rsidR="006566BE" w:rsidRDefault="006566BE" w:rsidP="00FA0E70">
            <w:pPr>
              <w:jc w:val="both"/>
              <w:rPr>
                <w:noProof/>
              </w:rPr>
            </w:pPr>
            <w:r>
              <w:rPr>
                <w:noProof/>
              </w:rPr>
              <w:t>2- Améliorer la formation en santé sexuelle, l’actualisation des connaissances des acteurs de terrain.</w:t>
            </w:r>
          </w:p>
          <w:p w:rsidR="006566BE" w:rsidRDefault="006566BE" w:rsidP="00FA0E70">
            <w:pPr>
              <w:jc w:val="both"/>
              <w:rPr>
                <w:noProof/>
              </w:rPr>
            </w:pPr>
            <w:r>
              <w:rPr>
                <w:noProof/>
              </w:rPr>
              <w:t>3- Développer l’Aller vers.</w:t>
            </w:r>
          </w:p>
          <w:p w:rsidR="006566BE" w:rsidRDefault="006566BE" w:rsidP="00FA0E70">
            <w:pPr>
              <w:jc w:val="both"/>
              <w:rPr>
                <w:noProof/>
              </w:rPr>
            </w:pPr>
            <w:r>
              <w:rPr>
                <w:noProof/>
              </w:rPr>
              <w:t>4- Renforcer l’accès aux outils de dépistage et à la contraception.</w:t>
            </w:r>
          </w:p>
          <w:p w:rsidR="006566BE" w:rsidRDefault="006566BE" w:rsidP="00EA7E42">
            <w:pPr>
              <w:jc w:val="both"/>
            </w:pPr>
          </w:p>
          <w:p w:rsidR="006566BE" w:rsidRDefault="006566BE" w:rsidP="00EA7E42"/>
        </w:tc>
      </w:tr>
      <w:tr w:rsidR="006566BE" w:rsidTr="00EA7E42">
        <w:tc>
          <w:tcPr>
            <w:tcW w:w="9212" w:type="dxa"/>
            <w:gridSpan w:val="2"/>
            <w:shd w:val="clear" w:color="auto" w:fill="C4BC96" w:themeFill="background2" w:themeFillShade="BF"/>
          </w:tcPr>
          <w:p w:rsidR="006566BE" w:rsidRPr="00BF7105" w:rsidRDefault="006566BE" w:rsidP="00EA7E42">
            <w:pPr>
              <w:rPr>
                <w:b/>
                <w:i/>
              </w:rPr>
            </w:pPr>
          </w:p>
          <w:p w:rsidR="006566BE" w:rsidRPr="00BF7105" w:rsidRDefault="006566BE" w:rsidP="00EA7E42">
            <w:pPr>
              <w:jc w:val="center"/>
              <w:rPr>
                <w:b/>
                <w:i/>
              </w:rPr>
            </w:pPr>
            <w:r w:rsidRPr="00BF7105">
              <w:rPr>
                <w:b/>
                <w:i/>
              </w:rPr>
              <w:t>Type d’actions</w:t>
            </w:r>
          </w:p>
          <w:p w:rsidR="006566BE" w:rsidRDefault="006566BE" w:rsidP="00EA7E42"/>
        </w:tc>
      </w:tr>
      <w:tr w:rsidR="006566BE" w:rsidTr="00EA7E42">
        <w:tc>
          <w:tcPr>
            <w:tcW w:w="9212" w:type="dxa"/>
            <w:gridSpan w:val="2"/>
            <w:tcBorders>
              <w:bottom w:val="single" w:sz="4" w:space="0" w:color="000000" w:themeColor="text1"/>
            </w:tcBorders>
          </w:tcPr>
          <w:p w:rsidR="006566BE" w:rsidRDefault="006566BE" w:rsidP="00EA7E42"/>
          <w:p w:rsidR="006566BE" w:rsidRDefault="006566BE" w:rsidP="00FA0E70">
            <w:pPr>
              <w:jc w:val="both"/>
              <w:rPr>
                <w:noProof/>
              </w:rPr>
            </w:pPr>
            <w:r>
              <w:rPr>
                <w:noProof/>
              </w:rPr>
              <w:t>1- Utilisation ou création de nouveaux outils de communication (par exemple les jeux de loisirs ou éducatifs notamment numériques).</w:t>
            </w:r>
          </w:p>
          <w:p w:rsidR="006566BE" w:rsidRDefault="006566BE" w:rsidP="00FA0E70">
            <w:pPr>
              <w:jc w:val="both"/>
              <w:rPr>
                <w:noProof/>
              </w:rPr>
            </w:pPr>
            <w:r>
              <w:rPr>
                <w:noProof/>
              </w:rPr>
              <w:t>2- Actions hors les murs.</w:t>
            </w:r>
          </w:p>
          <w:p w:rsidR="006566BE" w:rsidRDefault="006566BE" w:rsidP="00FA0E70">
            <w:pPr>
              <w:jc w:val="both"/>
              <w:rPr>
                <w:noProof/>
              </w:rPr>
            </w:pPr>
            <w:r>
              <w:rPr>
                <w:noProof/>
              </w:rPr>
              <w:t>3- Actions ayant fait la preuve de leur efficacité et validées au niveau régional, national ou international.</w:t>
            </w:r>
          </w:p>
          <w:p w:rsidR="006566BE" w:rsidRDefault="006566BE" w:rsidP="00EA7E42">
            <w:pPr>
              <w:jc w:val="both"/>
            </w:pPr>
          </w:p>
          <w:p w:rsidR="006566BE" w:rsidRDefault="006566BE" w:rsidP="00EA7E42"/>
        </w:tc>
      </w:tr>
      <w:tr w:rsidR="006566BE" w:rsidTr="00EA7E42">
        <w:tc>
          <w:tcPr>
            <w:tcW w:w="9212" w:type="dxa"/>
            <w:gridSpan w:val="2"/>
            <w:shd w:val="clear" w:color="auto" w:fill="C4BC96" w:themeFill="background2" w:themeFillShade="BF"/>
          </w:tcPr>
          <w:p w:rsidR="006566BE" w:rsidRPr="00BF7105" w:rsidRDefault="006566BE" w:rsidP="00EA7E42">
            <w:pPr>
              <w:jc w:val="center"/>
              <w:rPr>
                <w:b/>
                <w:i/>
              </w:rPr>
            </w:pPr>
          </w:p>
          <w:p w:rsidR="006566BE" w:rsidRPr="00BF7105" w:rsidRDefault="006566BE" w:rsidP="00EA7E42">
            <w:pPr>
              <w:jc w:val="center"/>
              <w:rPr>
                <w:b/>
                <w:i/>
              </w:rPr>
            </w:pPr>
            <w:r w:rsidRPr="00BF7105">
              <w:rPr>
                <w:b/>
                <w:i/>
              </w:rPr>
              <w:t>Public Cible</w:t>
            </w:r>
          </w:p>
          <w:p w:rsidR="006566BE" w:rsidRDefault="006566BE" w:rsidP="00EA7E42"/>
        </w:tc>
      </w:tr>
      <w:tr w:rsidR="006566BE" w:rsidTr="00EA7E42">
        <w:tc>
          <w:tcPr>
            <w:tcW w:w="9212" w:type="dxa"/>
            <w:gridSpan w:val="2"/>
            <w:tcBorders>
              <w:bottom w:val="single" w:sz="4" w:space="0" w:color="000000" w:themeColor="text1"/>
            </w:tcBorders>
          </w:tcPr>
          <w:p w:rsidR="006566BE" w:rsidRDefault="006566BE" w:rsidP="00EA7E42"/>
          <w:p w:rsidR="006566BE" w:rsidRDefault="006566BE" w:rsidP="00FA0E70">
            <w:pPr>
              <w:jc w:val="both"/>
              <w:rPr>
                <w:noProof/>
              </w:rPr>
            </w:pPr>
            <w:r>
              <w:rPr>
                <w:noProof/>
              </w:rPr>
              <w:t>Population générale avec une attention particulière pour les populations clés et/ou vulnérables (jeunes de moins de 25 ans, les personnes migrantes, les étrangers en situation irrégulière, les populations en situation de précarité socio-économique, les personnes ayant des addictions, les personnes souffrant de troubles psychiques, les personnes présentant un handicap</w:t>
            </w:r>
            <w:r w:rsidR="00531718">
              <w:rPr>
                <w:noProof/>
              </w:rPr>
              <w:t>, les personnes sourdes ou malentendantes</w:t>
            </w:r>
            <w:r>
              <w:rPr>
                <w:noProof/>
              </w:rPr>
              <w:t xml:space="preserve">, </w:t>
            </w:r>
            <w:r w:rsidR="00EE31D8">
              <w:rPr>
                <w:noProof/>
              </w:rPr>
              <w:t xml:space="preserve">les travailleuses du sexe, </w:t>
            </w:r>
            <w:r>
              <w:rPr>
                <w:noProof/>
              </w:rPr>
              <w:t>les hommes de 40 à 50 ans).</w:t>
            </w:r>
          </w:p>
          <w:p w:rsidR="006566BE" w:rsidRDefault="006566BE" w:rsidP="00FA0E70">
            <w:pPr>
              <w:jc w:val="both"/>
              <w:rPr>
                <w:noProof/>
              </w:rPr>
            </w:pPr>
            <w:r>
              <w:rPr>
                <w:noProof/>
              </w:rPr>
              <w:t>Professionnels de santé et de terrain.</w:t>
            </w:r>
          </w:p>
          <w:p w:rsidR="006566BE" w:rsidRDefault="006566BE" w:rsidP="00EA7E42">
            <w:pPr>
              <w:jc w:val="both"/>
            </w:pPr>
          </w:p>
          <w:p w:rsidR="006566BE" w:rsidRDefault="006566BE" w:rsidP="00EA7E42"/>
        </w:tc>
      </w:tr>
      <w:tr w:rsidR="006566BE" w:rsidTr="00EA7E42">
        <w:tc>
          <w:tcPr>
            <w:tcW w:w="9212" w:type="dxa"/>
            <w:gridSpan w:val="2"/>
            <w:shd w:val="clear" w:color="auto" w:fill="C4BC96" w:themeFill="background2" w:themeFillShade="BF"/>
          </w:tcPr>
          <w:p w:rsidR="006566BE" w:rsidRDefault="006566BE" w:rsidP="00EA7E42"/>
          <w:p w:rsidR="006566BE" w:rsidRPr="00BF7105" w:rsidRDefault="006566BE" w:rsidP="00EA7E42">
            <w:pPr>
              <w:jc w:val="center"/>
              <w:rPr>
                <w:b/>
                <w:i/>
              </w:rPr>
            </w:pPr>
            <w:r w:rsidRPr="00BF7105">
              <w:rPr>
                <w:b/>
                <w:i/>
              </w:rPr>
              <w:t>Territoire</w:t>
            </w:r>
          </w:p>
          <w:p w:rsidR="006566BE" w:rsidRDefault="006566BE" w:rsidP="00EA7E42"/>
        </w:tc>
      </w:tr>
      <w:tr w:rsidR="006566BE" w:rsidTr="00EA7E42">
        <w:tc>
          <w:tcPr>
            <w:tcW w:w="9212" w:type="dxa"/>
            <w:gridSpan w:val="2"/>
          </w:tcPr>
          <w:p w:rsidR="006566BE" w:rsidRDefault="006566BE" w:rsidP="00EA7E42"/>
          <w:p w:rsidR="006566BE" w:rsidRDefault="006566BE" w:rsidP="00EA7E42">
            <w:pPr>
              <w:jc w:val="both"/>
            </w:pPr>
            <w:r>
              <w:rPr>
                <w:noProof/>
              </w:rPr>
              <w:t>Région Guadeloupe -Saint-Martin et Saint-Barthélemy.</w:t>
            </w:r>
          </w:p>
          <w:p w:rsidR="006566BE" w:rsidRDefault="006566BE" w:rsidP="00EA7E42"/>
        </w:tc>
      </w:tr>
    </w:tbl>
    <w:p w:rsidR="006566BE" w:rsidRDefault="006566BE"/>
    <w:p w:rsidR="003A5F59" w:rsidRDefault="003A5F59" w:rsidP="003A5F59">
      <w:pPr>
        <w:jc w:val="center"/>
        <w:rPr>
          <w:rFonts w:eastAsia="Times New Roman" w:cstheme="minorHAnsi"/>
          <w:lang w:eastAsia="fr-FR"/>
        </w:rPr>
      </w:pPr>
      <w:r>
        <w:rPr>
          <w:rFonts w:eastAsia="Times New Roman" w:cstheme="minorHAnsi"/>
          <w:b/>
          <w:sz w:val="28"/>
          <w:szCs w:val="28"/>
          <w:lang w:eastAsia="fr-FR"/>
        </w:rPr>
        <w:t>Contact :</w:t>
      </w:r>
      <w:r>
        <w:rPr>
          <w:rFonts w:eastAsia="Times New Roman" w:cstheme="minorHAnsi"/>
          <w:lang w:eastAsia="fr-FR"/>
        </w:rPr>
        <w:t xml:space="preserve"> </w:t>
      </w:r>
    </w:p>
    <w:p w:rsidR="003A5F59" w:rsidRDefault="003A5F59" w:rsidP="003A5F59">
      <w:pPr>
        <w:jc w:val="center"/>
        <w:rPr>
          <w:rFonts w:eastAsia="Times New Roman" w:cstheme="minorHAnsi"/>
          <w:lang w:eastAsia="fr-FR"/>
        </w:rPr>
      </w:pPr>
      <w:r>
        <w:rPr>
          <w:rFonts w:eastAsia="Times New Roman" w:cstheme="minorHAnsi"/>
          <w:lang w:eastAsia="fr-FR"/>
        </w:rPr>
        <w:t>M. Lionel BOULON</w:t>
      </w:r>
    </w:p>
    <w:p w:rsidR="003A5F59" w:rsidRDefault="003A5F59" w:rsidP="003A5F59">
      <w:pPr>
        <w:jc w:val="center"/>
        <w:rPr>
          <w:rFonts w:eastAsia="Times New Roman" w:cstheme="minorHAnsi"/>
          <w:lang w:eastAsia="fr-FR"/>
        </w:rPr>
      </w:pPr>
      <w:r>
        <w:rPr>
          <w:rFonts w:eastAsia="Times New Roman" w:cstheme="minorHAnsi"/>
          <w:lang w:eastAsia="fr-FR"/>
        </w:rPr>
        <w:t>Agence Régionale de Santé de Guadeloupe, Saint-Martin, Saint–Barthélemy</w:t>
      </w:r>
    </w:p>
    <w:p w:rsidR="003A5F59" w:rsidRDefault="003A5F59" w:rsidP="003A5F59">
      <w:pPr>
        <w:jc w:val="center"/>
        <w:rPr>
          <w:rFonts w:eastAsia="Times New Roman" w:cstheme="minorHAnsi"/>
          <w:lang w:eastAsia="fr-FR"/>
        </w:rPr>
      </w:pPr>
      <w:r>
        <w:rPr>
          <w:rFonts w:eastAsia="Times New Roman" w:cstheme="minorHAnsi"/>
          <w:lang w:eastAsia="fr-FR"/>
        </w:rPr>
        <w:t xml:space="preserve">Service </w:t>
      </w:r>
      <w:r>
        <w:rPr>
          <w:rFonts w:cstheme="minorHAnsi"/>
        </w:rPr>
        <w:t>Prévention Education et Promotion de la Santé</w:t>
      </w:r>
    </w:p>
    <w:p w:rsidR="003A5F59" w:rsidRDefault="003A5F59" w:rsidP="003A5F59">
      <w:pPr>
        <w:jc w:val="center"/>
        <w:rPr>
          <w:rFonts w:eastAsia="Times New Roman" w:cstheme="minorHAnsi"/>
          <w:lang w:eastAsia="fr-FR"/>
        </w:rPr>
      </w:pPr>
      <w:r>
        <w:rPr>
          <w:rFonts w:eastAsia="Times New Roman" w:cstheme="minorHAnsi"/>
          <w:lang w:eastAsia="fr-FR"/>
        </w:rPr>
        <w:t>Route des Archives</w:t>
      </w:r>
    </w:p>
    <w:p w:rsidR="003A5F59" w:rsidRDefault="003A5F59" w:rsidP="003A5F59">
      <w:pPr>
        <w:jc w:val="center"/>
        <w:rPr>
          <w:rFonts w:eastAsia="Times New Roman" w:cstheme="minorHAnsi"/>
          <w:lang w:eastAsia="fr-FR"/>
        </w:rPr>
      </w:pPr>
      <w:r>
        <w:rPr>
          <w:rFonts w:eastAsia="Times New Roman" w:cstheme="minorHAnsi"/>
          <w:lang w:eastAsia="fr-FR"/>
        </w:rPr>
        <w:t>97113 Gourbeyre</w:t>
      </w:r>
    </w:p>
    <w:p w:rsidR="003A5F59" w:rsidRDefault="003A5F59" w:rsidP="003A5F59">
      <w:pPr>
        <w:jc w:val="center"/>
        <w:rPr>
          <w:rFonts w:eastAsia="Times New Roman" w:cstheme="minorHAnsi"/>
          <w:lang w:eastAsia="fr-FR"/>
        </w:rPr>
      </w:pPr>
      <w:r>
        <w:rPr>
          <w:rFonts w:eastAsia="Times New Roman" w:cstheme="minorHAnsi"/>
          <w:lang w:eastAsia="fr-FR"/>
        </w:rPr>
        <w:t xml:space="preserve">Tel : 0590 99 </w:t>
      </w:r>
      <w:proofErr w:type="spellStart"/>
      <w:r>
        <w:rPr>
          <w:rFonts w:eastAsia="Times New Roman" w:cstheme="minorHAnsi"/>
          <w:lang w:eastAsia="fr-FR"/>
        </w:rPr>
        <w:t>99</w:t>
      </w:r>
      <w:proofErr w:type="spellEnd"/>
      <w:r>
        <w:rPr>
          <w:rFonts w:eastAsia="Times New Roman" w:cstheme="minorHAnsi"/>
          <w:lang w:eastAsia="fr-FR"/>
        </w:rPr>
        <w:t xml:space="preserve"> 65</w:t>
      </w:r>
    </w:p>
    <w:p w:rsidR="003A5F59" w:rsidRDefault="003A5F59" w:rsidP="003A5F59">
      <w:pPr>
        <w:jc w:val="center"/>
      </w:pPr>
      <w:r>
        <w:t xml:space="preserve">Les dossiers doivent être envoyés à l’adresse suivante : </w:t>
      </w:r>
      <w:hyperlink r:id="rId7" w:history="1">
        <w:r>
          <w:rPr>
            <w:rStyle w:val="Lienhypertexte"/>
            <w:rFonts w:cstheme="minorHAnsi"/>
          </w:rPr>
          <w:t>ARS971-PROMOTION-SANTE@ars.sante.fr</w:t>
        </w:r>
      </w:hyperlink>
    </w:p>
    <w:p w:rsidR="003A5F59" w:rsidRDefault="003A5F59" w:rsidP="003A5F59">
      <w:pPr>
        <w:jc w:val="center"/>
      </w:pPr>
      <w:r>
        <w:t>Se référer au guide du promoteur</w:t>
      </w:r>
    </w:p>
    <w:p w:rsidR="006566BE" w:rsidRDefault="006566BE">
      <w:pPr>
        <w:sectPr w:rsidR="006566BE" w:rsidSect="006566BE">
          <w:headerReference w:type="first" r:id="rId8"/>
          <w:pgSz w:w="11906" w:h="16838"/>
          <w:pgMar w:top="1417" w:right="1417" w:bottom="1417" w:left="1417" w:header="708" w:footer="708" w:gutter="0"/>
          <w:pgNumType w:start="1"/>
          <w:cols w:space="708"/>
          <w:titlePg/>
          <w:docGrid w:linePitch="360"/>
        </w:sectPr>
      </w:pPr>
    </w:p>
    <w:p w:rsidR="006566BE" w:rsidRDefault="006566BE"/>
    <w:sectPr w:rsidR="006566BE" w:rsidSect="006566BE">
      <w:headerReference w:type="first" r:id="rId9"/>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1D8" w:rsidRDefault="00EE31D8" w:rsidP="00EA7E42">
      <w:pPr>
        <w:spacing w:after="0" w:line="240" w:lineRule="auto"/>
      </w:pPr>
      <w:r>
        <w:separator/>
      </w:r>
    </w:p>
  </w:endnote>
  <w:endnote w:type="continuationSeparator" w:id="0">
    <w:p w:rsidR="00EE31D8" w:rsidRDefault="00EE31D8" w:rsidP="00EA7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1D8" w:rsidRDefault="00EE31D8" w:rsidP="00EA7E42">
      <w:pPr>
        <w:spacing w:after="0" w:line="240" w:lineRule="auto"/>
      </w:pPr>
      <w:r>
        <w:separator/>
      </w:r>
    </w:p>
  </w:footnote>
  <w:footnote w:type="continuationSeparator" w:id="0">
    <w:p w:rsidR="00EE31D8" w:rsidRDefault="00EE31D8" w:rsidP="00EA7E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D8" w:rsidRPr="00EA7E42" w:rsidRDefault="00EE31D8" w:rsidP="008317C8">
    <w:pPr>
      <w:ind w:left="3828" w:right="992"/>
      <w:jc w:val="center"/>
      <w:rPr>
        <w:b/>
        <w:i/>
        <w:caps/>
      </w:rPr>
    </w:pPr>
    <w:r>
      <w:rPr>
        <w:b/>
        <w:i/>
        <w:caps/>
        <w:noProof/>
        <w:lang w:eastAsia="fr-FR"/>
      </w:rPr>
      <w:drawing>
        <wp:anchor distT="0" distB="0" distL="114300" distR="114300" simplePos="0" relativeHeight="251661312"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2"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EE31D8" w:rsidRPr="00EA7E42" w:rsidRDefault="00EE31D8" w:rsidP="008317C8">
    <w:pPr>
      <w:ind w:left="3828" w:right="992"/>
      <w:jc w:val="center"/>
      <w:rPr>
        <w:b/>
        <w:i/>
        <w:caps/>
      </w:rPr>
    </w:pPr>
    <w:r w:rsidRPr="00EA7E42">
      <w:rPr>
        <w:b/>
        <w:i/>
        <w:caps/>
      </w:rPr>
      <w:t>Appel à Projets actions prévention et promotion de la santé 2018</w:t>
    </w:r>
  </w:p>
  <w:p w:rsidR="00EE31D8" w:rsidRDefault="00EE31D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D8" w:rsidRPr="00EA7E42" w:rsidRDefault="00EE31D8" w:rsidP="008317C8">
    <w:pPr>
      <w:ind w:left="3828" w:right="992"/>
      <w:jc w:val="center"/>
      <w:rPr>
        <w:b/>
        <w:i/>
        <w:caps/>
      </w:rPr>
    </w:pPr>
    <w:r>
      <w:rPr>
        <w:b/>
        <w:i/>
        <w:caps/>
        <w:noProof/>
        <w:lang w:eastAsia="fr-FR"/>
      </w:rPr>
      <w:drawing>
        <wp:anchor distT="0" distB="0" distL="114300" distR="114300" simplePos="0" relativeHeight="251659264" behindDoc="0" locked="0" layoutInCell="1" allowOverlap="1">
          <wp:simplePos x="0" y="0"/>
          <wp:positionH relativeFrom="column">
            <wp:posOffset>-69215</wp:posOffset>
          </wp:positionH>
          <wp:positionV relativeFrom="paragraph">
            <wp:posOffset>47625</wp:posOffset>
          </wp:positionV>
          <wp:extent cx="1385570" cy="890905"/>
          <wp:effectExtent l="19050" t="0" r="5080" b="0"/>
          <wp:wrapNone/>
          <wp:docPr id="1" name="Image 1" descr="I:\POLESANTEPUBLIQUE\PEPS\2016\Logo ARS\AS_guadeloupe_CMJN_CS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OLESANTEPUBLIQUE\PEPS\2016\Logo ARS\AS_guadeloupe_CMJN_CS3.eps"/>
                  <pic:cNvPicPr>
                    <a:picLocks noChangeAspect="1" noChangeArrowheads="1"/>
                  </pic:cNvPicPr>
                </pic:nvPicPr>
                <pic:blipFill>
                  <a:blip r:embed="rId1" cstate="print"/>
                  <a:srcRect/>
                  <a:stretch>
                    <a:fillRect/>
                  </a:stretch>
                </pic:blipFill>
                <pic:spPr bwMode="auto">
                  <a:xfrm>
                    <a:off x="0" y="0"/>
                    <a:ext cx="1385570" cy="890905"/>
                  </a:xfrm>
                  <a:prstGeom prst="rect">
                    <a:avLst/>
                  </a:prstGeom>
                  <a:noFill/>
                  <a:ln w="9525">
                    <a:noFill/>
                    <a:miter lim="800000"/>
                    <a:headEnd/>
                    <a:tailEnd/>
                  </a:ln>
                </pic:spPr>
              </pic:pic>
            </a:graphicData>
          </a:graphic>
        </wp:anchor>
      </w:drawing>
    </w:r>
    <w:r w:rsidRPr="00EA7E42">
      <w:rPr>
        <w:b/>
        <w:i/>
        <w:caps/>
      </w:rPr>
      <w:t>Agence régionale de Santé Guadeloupe, Saint-Martin, Saint-barthélémy</w:t>
    </w:r>
  </w:p>
  <w:p w:rsidR="00EE31D8" w:rsidRPr="00EA7E42" w:rsidRDefault="00EE31D8" w:rsidP="008317C8">
    <w:pPr>
      <w:ind w:left="3828" w:right="992"/>
      <w:jc w:val="center"/>
      <w:rPr>
        <w:b/>
        <w:i/>
        <w:caps/>
      </w:rPr>
    </w:pPr>
    <w:r w:rsidRPr="00EA7E42">
      <w:rPr>
        <w:b/>
        <w:i/>
        <w:caps/>
      </w:rPr>
      <w:t>Appel à Projets actions prévention et promotion de la santé 2018</w:t>
    </w:r>
  </w:p>
  <w:p w:rsidR="00EE31D8" w:rsidRDefault="00EE31D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0E3575"/>
    <w:rsid w:val="000E3575"/>
    <w:rsid w:val="003A5F59"/>
    <w:rsid w:val="003C12AD"/>
    <w:rsid w:val="003D6558"/>
    <w:rsid w:val="004E4D44"/>
    <w:rsid w:val="00501FC9"/>
    <w:rsid w:val="00531718"/>
    <w:rsid w:val="006566BE"/>
    <w:rsid w:val="0076074D"/>
    <w:rsid w:val="00792120"/>
    <w:rsid w:val="008317C8"/>
    <w:rsid w:val="00872471"/>
    <w:rsid w:val="00A0490F"/>
    <w:rsid w:val="00A456D5"/>
    <w:rsid w:val="00BF7105"/>
    <w:rsid w:val="00CF352E"/>
    <w:rsid w:val="00D25331"/>
    <w:rsid w:val="00E4551F"/>
    <w:rsid w:val="00E5763B"/>
    <w:rsid w:val="00EA7E42"/>
    <w:rsid w:val="00EE31D8"/>
    <w:rsid w:val="00FA0E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D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E35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E3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3575"/>
    <w:rPr>
      <w:rFonts w:ascii="Tahoma" w:hAnsi="Tahoma" w:cs="Tahoma"/>
      <w:sz w:val="16"/>
      <w:szCs w:val="16"/>
    </w:rPr>
  </w:style>
  <w:style w:type="paragraph" w:styleId="En-tte">
    <w:name w:val="header"/>
    <w:basedOn w:val="Normal"/>
    <w:link w:val="En-tteCar"/>
    <w:uiPriority w:val="99"/>
    <w:semiHidden/>
    <w:unhideWhenUsed/>
    <w:rsid w:val="00EA7E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7E42"/>
  </w:style>
  <w:style w:type="paragraph" w:styleId="Pieddepage">
    <w:name w:val="footer"/>
    <w:basedOn w:val="Normal"/>
    <w:link w:val="PieddepageCar"/>
    <w:uiPriority w:val="99"/>
    <w:semiHidden/>
    <w:unhideWhenUsed/>
    <w:rsid w:val="00EA7E4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A7E42"/>
  </w:style>
  <w:style w:type="character" w:styleId="Lienhypertexte">
    <w:name w:val="Hyperlink"/>
    <w:basedOn w:val="Policepardfaut"/>
    <w:uiPriority w:val="99"/>
    <w:unhideWhenUsed/>
    <w:rsid w:val="00A456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S971-PROMOTION-SANTE@ars.sante.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F14CC-6CFF-4BBD-A819-6A0BE52A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331</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lboulon</dc:creator>
  <cp:lastModifiedBy>lboulon</cp:lastModifiedBy>
  <cp:revision>4</cp:revision>
  <cp:lastPrinted>2018-04-13T19:19:00Z</cp:lastPrinted>
  <dcterms:created xsi:type="dcterms:W3CDTF">2018-04-10T03:53:00Z</dcterms:created>
  <dcterms:modified xsi:type="dcterms:W3CDTF">2018-04-13T19:19:00Z</dcterms:modified>
</cp:coreProperties>
</file>