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page" w:horzAnchor="margin" w:tblpY="2417"/>
        <w:tblW w:w="0" w:type="auto"/>
        <w:tblLook w:val="04A0"/>
      </w:tblPr>
      <w:tblGrid>
        <w:gridCol w:w="1951"/>
        <w:gridCol w:w="7261"/>
      </w:tblGrid>
      <w:tr w:rsidR="00913383" w:rsidTr="00EA7E42">
        <w:tc>
          <w:tcPr>
            <w:tcW w:w="1951" w:type="dxa"/>
            <w:tcBorders>
              <w:bottom w:val="single" w:sz="4" w:space="0" w:color="000000" w:themeColor="text1"/>
            </w:tcBorders>
            <w:shd w:val="clear" w:color="auto" w:fill="C4BC96" w:themeFill="background2" w:themeFillShade="BF"/>
          </w:tcPr>
          <w:p w:rsidR="00913383" w:rsidRDefault="00913383" w:rsidP="00EA7E42"/>
          <w:p w:rsidR="00913383" w:rsidRPr="00BF7105" w:rsidRDefault="00913383" w:rsidP="00EA7E42">
            <w:pPr>
              <w:rPr>
                <w:b/>
                <w:i/>
              </w:rPr>
            </w:pPr>
            <w:r w:rsidRPr="00BF7105">
              <w:rPr>
                <w:b/>
                <w:i/>
              </w:rPr>
              <w:t>Fiche thématique</w:t>
            </w:r>
          </w:p>
          <w:p w:rsidR="00913383" w:rsidRDefault="00913383" w:rsidP="00EA7E42"/>
        </w:tc>
        <w:tc>
          <w:tcPr>
            <w:tcW w:w="7261" w:type="dxa"/>
            <w:tcBorders>
              <w:bottom w:val="single" w:sz="4" w:space="0" w:color="000000" w:themeColor="text1"/>
            </w:tcBorders>
          </w:tcPr>
          <w:p w:rsidR="00913383" w:rsidRDefault="00913383" w:rsidP="00EA7E42"/>
          <w:p w:rsidR="00913383" w:rsidRPr="00EA7E42" w:rsidRDefault="00913383" w:rsidP="00EA7E42">
            <w:pPr>
              <w:rPr>
                <w:b/>
                <w:i/>
                <w:caps/>
                <w:u w:val="single"/>
              </w:rPr>
            </w:pPr>
            <w:r w:rsidRPr="00ED4E16">
              <w:rPr>
                <w:b/>
                <w:i/>
                <w:caps/>
                <w:noProof/>
                <w:u w:val="single"/>
              </w:rPr>
              <w:t>Santé mentale</w:t>
            </w:r>
          </w:p>
          <w:p w:rsidR="00913383" w:rsidRDefault="00913383" w:rsidP="00EA7E42"/>
        </w:tc>
      </w:tr>
      <w:tr w:rsidR="00913383" w:rsidTr="00EA7E42">
        <w:tc>
          <w:tcPr>
            <w:tcW w:w="9212" w:type="dxa"/>
            <w:gridSpan w:val="2"/>
            <w:shd w:val="clear" w:color="auto" w:fill="C4BC96" w:themeFill="background2" w:themeFillShade="BF"/>
          </w:tcPr>
          <w:p w:rsidR="00913383" w:rsidRDefault="00913383" w:rsidP="00EA7E42"/>
          <w:p w:rsidR="00913383" w:rsidRPr="00BF7105" w:rsidRDefault="00913383" w:rsidP="00EA7E42">
            <w:pPr>
              <w:jc w:val="center"/>
              <w:rPr>
                <w:b/>
                <w:i/>
              </w:rPr>
            </w:pPr>
            <w:r w:rsidRPr="00BF7105">
              <w:rPr>
                <w:b/>
                <w:i/>
              </w:rPr>
              <w:t>Contexte et objectifs</w:t>
            </w:r>
          </w:p>
          <w:p w:rsidR="00913383" w:rsidRDefault="00913383" w:rsidP="00EA7E42"/>
        </w:tc>
      </w:tr>
      <w:tr w:rsidR="00913383" w:rsidTr="00EA7E42">
        <w:tc>
          <w:tcPr>
            <w:tcW w:w="9212" w:type="dxa"/>
            <w:gridSpan w:val="2"/>
            <w:tcBorders>
              <w:bottom w:val="single" w:sz="4" w:space="0" w:color="000000" w:themeColor="text1"/>
            </w:tcBorders>
          </w:tcPr>
          <w:p w:rsidR="00913383" w:rsidRDefault="00913383" w:rsidP="00EA7E42"/>
          <w:p w:rsidR="00913383" w:rsidRDefault="00913383" w:rsidP="00FA0E70">
            <w:pPr>
              <w:jc w:val="both"/>
              <w:rPr>
                <w:noProof/>
              </w:rPr>
            </w:pPr>
            <w:r>
              <w:rPr>
                <w:noProof/>
              </w:rPr>
              <w:t>Selon l’OMS, les troubles psychiques sont la première cause médicale d’invalidité, la deuxième cause d’arrêt de travail et la troisième cause d’affection de longue durée. Défi pour notre société et notre système de santé, les troubles psychiques mettent à l’épreuve notre cohésion sociale. Ils sont une cause importante de mal être, d’incapacité, d’isolement, de dépression, de passage à l’acte, de désaffiliation sociale, d’exclusion.</w:t>
            </w:r>
          </w:p>
          <w:p w:rsidR="00AD53D1" w:rsidRDefault="00AD53D1" w:rsidP="00FA0E70">
            <w:pPr>
              <w:jc w:val="both"/>
              <w:rPr>
                <w:noProof/>
              </w:rPr>
            </w:pPr>
          </w:p>
          <w:p w:rsidR="00913383" w:rsidRDefault="00913383" w:rsidP="00FA0E70">
            <w:pPr>
              <w:jc w:val="both"/>
              <w:rPr>
                <w:noProof/>
              </w:rPr>
            </w:pPr>
            <w:r>
              <w:rPr>
                <w:noProof/>
              </w:rPr>
              <w:t>D’après le baromètre santé DOM de 2014, 1 guadeloupéen sur 4 prés</w:t>
            </w:r>
            <w:r w:rsidR="00875CE1">
              <w:rPr>
                <w:noProof/>
              </w:rPr>
              <w:t xml:space="preserve">ente une détresse psychologique </w:t>
            </w:r>
          </w:p>
          <w:p w:rsidR="00AD53D1" w:rsidRDefault="00AD53D1" w:rsidP="00FA0E70">
            <w:pPr>
              <w:jc w:val="both"/>
              <w:rPr>
                <w:noProof/>
              </w:rPr>
            </w:pPr>
          </w:p>
          <w:p w:rsidR="00913383" w:rsidRDefault="00913383" w:rsidP="00FA0E70">
            <w:pPr>
              <w:jc w:val="both"/>
              <w:rPr>
                <w:noProof/>
              </w:rPr>
            </w:pPr>
            <w:r>
              <w:rPr>
                <w:noProof/>
              </w:rPr>
              <w:t>Cette même année, l’étude menée en Guadeloupe intitulée « santé mentale en population générale, images et réalités » confirme un taux de 34% de personnes en difficulté psychique. Cette étude a aussi mis en évidence une méconnaissance des parcours de soins, et une image négative du problème mental.</w:t>
            </w:r>
            <w:r w:rsidR="00AD53D1">
              <w:rPr>
                <w:noProof/>
              </w:rPr>
              <w:t xml:space="preserve"> </w:t>
            </w:r>
            <w:r w:rsidR="00875CE1">
              <w:rPr>
                <w:noProof/>
              </w:rPr>
              <w:t xml:space="preserve">Le baromètre santé sourds et malentendants souligne également combien </w:t>
            </w:r>
            <w:r w:rsidR="008C01F5">
              <w:rPr>
                <w:noProof/>
              </w:rPr>
              <w:t xml:space="preserve">la détresse psychologique est plus importante chez cette population (43% des sourds contre 17 % en population générale). </w:t>
            </w:r>
          </w:p>
          <w:p w:rsidR="00913383" w:rsidRDefault="00913383" w:rsidP="00EA7E42">
            <w:pPr>
              <w:jc w:val="both"/>
            </w:pPr>
          </w:p>
          <w:p w:rsidR="00913383" w:rsidRDefault="00913383" w:rsidP="00EA7E42"/>
        </w:tc>
      </w:tr>
      <w:tr w:rsidR="00913383" w:rsidTr="00EA7E42">
        <w:tc>
          <w:tcPr>
            <w:tcW w:w="9212" w:type="dxa"/>
            <w:gridSpan w:val="2"/>
            <w:tcBorders>
              <w:bottom w:val="single" w:sz="4" w:space="0" w:color="000000" w:themeColor="text1"/>
            </w:tcBorders>
            <w:shd w:val="clear" w:color="auto" w:fill="C4BC96" w:themeFill="background2" w:themeFillShade="BF"/>
          </w:tcPr>
          <w:p w:rsidR="00913383" w:rsidRDefault="00913383" w:rsidP="00EA7E42"/>
          <w:p w:rsidR="00913383" w:rsidRPr="00BF7105" w:rsidRDefault="00913383" w:rsidP="00EA7E42">
            <w:pPr>
              <w:jc w:val="center"/>
              <w:rPr>
                <w:b/>
                <w:i/>
              </w:rPr>
            </w:pPr>
            <w:r>
              <w:rPr>
                <w:b/>
                <w:i/>
              </w:rPr>
              <w:t>O</w:t>
            </w:r>
            <w:r w:rsidRPr="00BF7105">
              <w:rPr>
                <w:b/>
                <w:i/>
              </w:rPr>
              <w:t>bjectifs</w:t>
            </w:r>
          </w:p>
          <w:p w:rsidR="00913383" w:rsidRDefault="00913383" w:rsidP="00EA7E42"/>
        </w:tc>
      </w:tr>
      <w:tr w:rsidR="00913383" w:rsidTr="00EA7E42">
        <w:tc>
          <w:tcPr>
            <w:tcW w:w="9212" w:type="dxa"/>
            <w:gridSpan w:val="2"/>
            <w:tcBorders>
              <w:bottom w:val="single" w:sz="4" w:space="0" w:color="000000" w:themeColor="text1"/>
            </w:tcBorders>
          </w:tcPr>
          <w:p w:rsidR="00913383" w:rsidRDefault="00913383" w:rsidP="00EA7E42"/>
          <w:p w:rsidR="00913383" w:rsidRDefault="00913383" w:rsidP="00FA0E70">
            <w:pPr>
              <w:jc w:val="both"/>
              <w:rPr>
                <w:noProof/>
              </w:rPr>
            </w:pPr>
            <w:r>
              <w:rPr>
                <w:noProof/>
              </w:rPr>
              <w:t xml:space="preserve">1 - Promouvoir la santé mentale et dédramatiser la maladie </w:t>
            </w:r>
          </w:p>
          <w:p w:rsidR="00913383" w:rsidRDefault="00913383" w:rsidP="00FA0E70">
            <w:pPr>
              <w:jc w:val="both"/>
              <w:rPr>
                <w:noProof/>
              </w:rPr>
            </w:pPr>
            <w:r>
              <w:rPr>
                <w:noProof/>
              </w:rPr>
              <w:t>2- Sensibiliser les acteurs de première ligne pour permettre un repérage précoce et une orientation des personnes en difficulté</w:t>
            </w:r>
          </w:p>
          <w:p w:rsidR="00913383" w:rsidRDefault="00913383" w:rsidP="00FA0E70">
            <w:pPr>
              <w:jc w:val="both"/>
              <w:rPr>
                <w:noProof/>
              </w:rPr>
            </w:pPr>
            <w:r>
              <w:rPr>
                <w:noProof/>
              </w:rPr>
              <w:t xml:space="preserve">3 - Soutenir l'entourage des personnes en souffrance psychique. </w:t>
            </w:r>
          </w:p>
          <w:p w:rsidR="00913383" w:rsidRDefault="00913383" w:rsidP="00EA7E42">
            <w:pPr>
              <w:jc w:val="both"/>
            </w:pPr>
          </w:p>
          <w:p w:rsidR="00913383" w:rsidRDefault="00913383" w:rsidP="00EA7E42"/>
        </w:tc>
      </w:tr>
      <w:tr w:rsidR="00913383" w:rsidTr="00EA7E42">
        <w:tc>
          <w:tcPr>
            <w:tcW w:w="9212" w:type="dxa"/>
            <w:gridSpan w:val="2"/>
            <w:shd w:val="clear" w:color="auto" w:fill="C4BC96" w:themeFill="background2" w:themeFillShade="BF"/>
          </w:tcPr>
          <w:p w:rsidR="00913383" w:rsidRPr="00BF7105" w:rsidRDefault="00913383" w:rsidP="00EA7E42">
            <w:pPr>
              <w:rPr>
                <w:b/>
                <w:i/>
              </w:rPr>
            </w:pPr>
          </w:p>
          <w:p w:rsidR="00913383" w:rsidRPr="00BF7105" w:rsidRDefault="00913383" w:rsidP="00EA7E42">
            <w:pPr>
              <w:jc w:val="center"/>
              <w:rPr>
                <w:b/>
                <w:i/>
              </w:rPr>
            </w:pPr>
            <w:r w:rsidRPr="00BF7105">
              <w:rPr>
                <w:b/>
                <w:i/>
              </w:rPr>
              <w:t>Type d’actions</w:t>
            </w:r>
          </w:p>
          <w:p w:rsidR="00913383" w:rsidRDefault="00913383" w:rsidP="00EA7E42"/>
        </w:tc>
      </w:tr>
      <w:tr w:rsidR="00913383" w:rsidTr="00EA7E42">
        <w:tc>
          <w:tcPr>
            <w:tcW w:w="9212" w:type="dxa"/>
            <w:gridSpan w:val="2"/>
            <w:tcBorders>
              <w:bottom w:val="single" w:sz="4" w:space="0" w:color="000000" w:themeColor="text1"/>
            </w:tcBorders>
          </w:tcPr>
          <w:p w:rsidR="00913383" w:rsidRDefault="00913383" w:rsidP="00EA7E42"/>
          <w:p w:rsidR="00AD53D1" w:rsidRDefault="00AD53D1" w:rsidP="00EA7E42"/>
          <w:p w:rsidR="00913383" w:rsidRDefault="00913383" w:rsidP="00FA0E70">
            <w:pPr>
              <w:jc w:val="both"/>
              <w:rPr>
                <w:noProof/>
              </w:rPr>
            </w:pPr>
            <w:r>
              <w:rPr>
                <w:noProof/>
              </w:rPr>
              <w:t>1. Actions développant le bien-être mental des personnes en souffrance psychique</w:t>
            </w:r>
          </w:p>
          <w:p w:rsidR="00913383" w:rsidRDefault="00913383" w:rsidP="00FA0E70">
            <w:pPr>
              <w:jc w:val="both"/>
              <w:rPr>
                <w:noProof/>
              </w:rPr>
            </w:pPr>
            <w:r>
              <w:rPr>
                <w:noProof/>
              </w:rPr>
              <w:t>2. Actions de communication innovantes : pièces de théâtre …</w:t>
            </w:r>
          </w:p>
          <w:p w:rsidR="00913383" w:rsidRDefault="00913383" w:rsidP="00FA0E70">
            <w:pPr>
              <w:jc w:val="both"/>
              <w:rPr>
                <w:noProof/>
              </w:rPr>
            </w:pPr>
            <w:r>
              <w:rPr>
                <w:noProof/>
              </w:rPr>
              <w:t>3. Action d’information et de sensibilisation</w:t>
            </w:r>
          </w:p>
          <w:p w:rsidR="00913383" w:rsidRDefault="00913383" w:rsidP="00FA0E70">
            <w:pPr>
              <w:jc w:val="both"/>
              <w:rPr>
                <w:noProof/>
              </w:rPr>
            </w:pPr>
            <w:r>
              <w:rPr>
                <w:noProof/>
              </w:rPr>
              <w:t>4. Action de formation au repérage précoce en direction des personnels de première ligne</w:t>
            </w:r>
          </w:p>
          <w:p w:rsidR="00913383" w:rsidRDefault="00913383" w:rsidP="00EA7E42">
            <w:pPr>
              <w:jc w:val="both"/>
            </w:pPr>
          </w:p>
          <w:p w:rsidR="00913383" w:rsidRDefault="00913383" w:rsidP="00EA7E42"/>
          <w:p w:rsidR="00AD53D1" w:rsidRDefault="00AD53D1" w:rsidP="00EA7E42"/>
          <w:p w:rsidR="00AD53D1" w:rsidRDefault="00AD53D1" w:rsidP="00EA7E42"/>
        </w:tc>
      </w:tr>
      <w:tr w:rsidR="00913383" w:rsidTr="00EA7E42">
        <w:tc>
          <w:tcPr>
            <w:tcW w:w="9212" w:type="dxa"/>
            <w:gridSpan w:val="2"/>
            <w:shd w:val="clear" w:color="auto" w:fill="C4BC96" w:themeFill="background2" w:themeFillShade="BF"/>
          </w:tcPr>
          <w:p w:rsidR="00913383" w:rsidRPr="00BF7105" w:rsidRDefault="00913383" w:rsidP="00EA7E42">
            <w:pPr>
              <w:jc w:val="center"/>
              <w:rPr>
                <w:b/>
                <w:i/>
              </w:rPr>
            </w:pPr>
          </w:p>
          <w:p w:rsidR="00913383" w:rsidRPr="00BF7105" w:rsidRDefault="00913383" w:rsidP="00EA7E42">
            <w:pPr>
              <w:jc w:val="center"/>
              <w:rPr>
                <w:b/>
                <w:i/>
              </w:rPr>
            </w:pPr>
            <w:r w:rsidRPr="00BF7105">
              <w:rPr>
                <w:b/>
                <w:i/>
              </w:rPr>
              <w:t>Public Cible</w:t>
            </w:r>
          </w:p>
          <w:p w:rsidR="00913383" w:rsidRDefault="00913383" w:rsidP="00EA7E42"/>
        </w:tc>
      </w:tr>
      <w:tr w:rsidR="00913383" w:rsidTr="00EA7E42">
        <w:tc>
          <w:tcPr>
            <w:tcW w:w="9212" w:type="dxa"/>
            <w:gridSpan w:val="2"/>
            <w:tcBorders>
              <w:bottom w:val="single" w:sz="4" w:space="0" w:color="000000" w:themeColor="text1"/>
            </w:tcBorders>
          </w:tcPr>
          <w:p w:rsidR="00913383" w:rsidRDefault="00913383" w:rsidP="00EA7E42"/>
          <w:p w:rsidR="00913383" w:rsidRDefault="00913383" w:rsidP="00FA0E70">
            <w:pPr>
              <w:jc w:val="both"/>
              <w:rPr>
                <w:noProof/>
              </w:rPr>
            </w:pPr>
            <w:r>
              <w:rPr>
                <w:noProof/>
              </w:rPr>
              <w:t>Personnes isolées, personnes âgées, personnes en situation d’handicap</w:t>
            </w:r>
          </w:p>
          <w:p w:rsidR="00913383" w:rsidRDefault="00913383" w:rsidP="00FA0E70">
            <w:pPr>
              <w:jc w:val="both"/>
              <w:rPr>
                <w:noProof/>
              </w:rPr>
            </w:pPr>
            <w:r>
              <w:rPr>
                <w:noProof/>
              </w:rPr>
              <w:t xml:space="preserve">Publics scolaires et universitaires </w:t>
            </w:r>
          </w:p>
          <w:p w:rsidR="008C01F5" w:rsidRDefault="008C01F5" w:rsidP="00FA0E70">
            <w:pPr>
              <w:jc w:val="both"/>
              <w:rPr>
                <w:noProof/>
              </w:rPr>
            </w:pPr>
            <w:r>
              <w:rPr>
                <w:noProof/>
              </w:rPr>
              <w:t>Personnes sourdes et malentendantes</w:t>
            </w:r>
          </w:p>
          <w:p w:rsidR="00913383" w:rsidRDefault="00913383" w:rsidP="00FA0E70">
            <w:pPr>
              <w:jc w:val="both"/>
              <w:rPr>
                <w:noProof/>
              </w:rPr>
            </w:pPr>
            <w:r>
              <w:rPr>
                <w:noProof/>
              </w:rPr>
              <w:t>Professionnels de santé et aidants familiaux, assistantes maternelles,</w:t>
            </w:r>
          </w:p>
          <w:p w:rsidR="00913383" w:rsidRDefault="00913383" w:rsidP="00FA0E70">
            <w:pPr>
              <w:jc w:val="both"/>
              <w:rPr>
                <w:noProof/>
              </w:rPr>
            </w:pPr>
            <w:r>
              <w:rPr>
                <w:noProof/>
              </w:rPr>
              <w:t>Equipes éducatives des établissements scolaires</w:t>
            </w:r>
          </w:p>
          <w:p w:rsidR="00913383" w:rsidRDefault="00913383" w:rsidP="00EA7E42">
            <w:pPr>
              <w:jc w:val="both"/>
            </w:pPr>
          </w:p>
          <w:p w:rsidR="00913383" w:rsidRDefault="00913383" w:rsidP="00EA7E42"/>
        </w:tc>
      </w:tr>
      <w:tr w:rsidR="00913383" w:rsidTr="00EA7E42">
        <w:tc>
          <w:tcPr>
            <w:tcW w:w="9212" w:type="dxa"/>
            <w:gridSpan w:val="2"/>
            <w:shd w:val="clear" w:color="auto" w:fill="C4BC96" w:themeFill="background2" w:themeFillShade="BF"/>
          </w:tcPr>
          <w:p w:rsidR="00913383" w:rsidRDefault="00913383" w:rsidP="00EA7E42"/>
          <w:p w:rsidR="00913383" w:rsidRPr="00BF7105" w:rsidRDefault="00913383" w:rsidP="00EA7E42">
            <w:pPr>
              <w:jc w:val="center"/>
              <w:rPr>
                <w:b/>
                <w:i/>
              </w:rPr>
            </w:pPr>
            <w:r w:rsidRPr="00BF7105">
              <w:rPr>
                <w:b/>
                <w:i/>
              </w:rPr>
              <w:t>Territoire</w:t>
            </w:r>
          </w:p>
          <w:p w:rsidR="00913383" w:rsidRDefault="00913383" w:rsidP="00EA7E42"/>
        </w:tc>
      </w:tr>
      <w:tr w:rsidR="00913383" w:rsidTr="00EA7E42">
        <w:tc>
          <w:tcPr>
            <w:tcW w:w="9212" w:type="dxa"/>
            <w:gridSpan w:val="2"/>
          </w:tcPr>
          <w:p w:rsidR="00913383" w:rsidRDefault="00913383" w:rsidP="00EA7E42"/>
          <w:p w:rsidR="00913383" w:rsidRDefault="00913383" w:rsidP="00EA7E42">
            <w:pPr>
              <w:jc w:val="both"/>
            </w:pPr>
            <w:r>
              <w:rPr>
                <w:noProof/>
              </w:rPr>
              <w:t>Région Guadeloupe -Saint-Martin et Saint-Barthélemy</w:t>
            </w:r>
          </w:p>
          <w:p w:rsidR="00913383" w:rsidRDefault="00913383" w:rsidP="00EA7E42"/>
        </w:tc>
      </w:tr>
    </w:tbl>
    <w:p w:rsidR="00913383" w:rsidRDefault="00913383"/>
    <w:p w:rsidR="00D74B9F" w:rsidRDefault="00D74B9F" w:rsidP="00D74B9F">
      <w:pPr>
        <w:jc w:val="center"/>
        <w:rPr>
          <w:rFonts w:eastAsia="Times New Roman" w:cstheme="minorHAnsi"/>
          <w:lang w:eastAsia="fr-FR"/>
        </w:rPr>
      </w:pPr>
      <w:r>
        <w:rPr>
          <w:rFonts w:eastAsia="Times New Roman" w:cstheme="minorHAnsi"/>
          <w:b/>
          <w:sz w:val="28"/>
          <w:szCs w:val="28"/>
          <w:lang w:eastAsia="fr-FR"/>
        </w:rPr>
        <w:t>Contact :</w:t>
      </w:r>
      <w:r>
        <w:rPr>
          <w:rFonts w:eastAsia="Times New Roman" w:cstheme="minorHAnsi"/>
          <w:lang w:eastAsia="fr-FR"/>
        </w:rPr>
        <w:t xml:space="preserve"> </w:t>
      </w:r>
    </w:p>
    <w:p w:rsidR="00D74B9F" w:rsidRDefault="00D74B9F" w:rsidP="00D74B9F">
      <w:pPr>
        <w:jc w:val="center"/>
        <w:rPr>
          <w:rFonts w:eastAsia="Times New Roman" w:cstheme="minorHAnsi"/>
          <w:lang w:eastAsia="fr-FR"/>
        </w:rPr>
      </w:pPr>
      <w:r>
        <w:rPr>
          <w:rFonts w:eastAsia="Times New Roman" w:cstheme="minorHAnsi"/>
          <w:lang w:eastAsia="fr-FR"/>
        </w:rPr>
        <w:t>M. Lionel BOULON</w:t>
      </w:r>
    </w:p>
    <w:p w:rsidR="00D74B9F" w:rsidRDefault="00D74B9F" w:rsidP="00D74B9F">
      <w:pPr>
        <w:jc w:val="center"/>
        <w:rPr>
          <w:rFonts w:eastAsia="Times New Roman" w:cstheme="minorHAnsi"/>
          <w:lang w:eastAsia="fr-FR"/>
        </w:rPr>
      </w:pPr>
      <w:r>
        <w:rPr>
          <w:rFonts w:eastAsia="Times New Roman" w:cstheme="minorHAnsi"/>
          <w:lang w:eastAsia="fr-FR"/>
        </w:rPr>
        <w:t>Agence Régionale de Santé de Guadeloupe, Saint-Martin, Saint–Barthélemy</w:t>
      </w:r>
    </w:p>
    <w:p w:rsidR="00D74B9F" w:rsidRDefault="00D74B9F" w:rsidP="00D74B9F">
      <w:pPr>
        <w:jc w:val="center"/>
        <w:rPr>
          <w:rFonts w:eastAsia="Times New Roman" w:cstheme="minorHAnsi"/>
          <w:lang w:eastAsia="fr-FR"/>
        </w:rPr>
      </w:pPr>
      <w:r>
        <w:rPr>
          <w:rFonts w:eastAsia="Times New Roman" w:cstheme="minorHAnsi"/>
          <w:lang w:eastAsia="fr-FR"/>
        </w:rPr>
        <w:t xml:space="preserve">Service </w:t>
      </w:r>
      <w:r>
        <w:rPr>
          <w:rFonts w:cstheme="minorHAnsi"/>
        </w:rPr>
        <w:t>Prévention Education et Promotion de la Santé</w:t>
      </w:r>
    </w:p>
    <w:p w:rsidR="00D74B9F" w:rsidRDefault="00D74B9F" w:rsidP="00D74B9F">
      <w:pPr>
        <w:jc w:val="center"/>
        <w:rPr>
          <w:rFonts w:eastAsia="Times New Roman" w:cstheme="minorHAnsi"/>
          <w:lang w:eastAsia="fr-FR"/>
        </w:rPr>
      </w:pPr>
      <w:r>
        <w:rPr>
          <w:rFonts w:eastAsia="Times New Roman" w:cstheme="minorHAnsi"/>
          <w:lang w:eastAsia="fr-FR"/>
        </w:rPr>
        <w:t>Route des Archives</w:t>
      </w:r>
    </w:p>
    <w:p w:rsidR="00D74B9F" w:rsidRDefault="00D74B9F" w:rsidP="00D74B9F">
      <w:pPr>
        <w:jc w:val="center"/>
        <w:rPr>
          <w:rFonts w:eastAsia="Times New Roman" w:cstheme="minorHAnsi"/>
          <w:lang w:eastAsia="fr-FR"/>
        </w:rPr>
      </w:pPr>
      <w:r>
        <w:rPr>
          <w:rFonts w:eastAsia="Times New Roman" w:cstheme="minorHAnsi"/>
          <w:lang w:eastAsia="fr-FR"/>
        </w:rPr>
        <w:t>97113 Gourbeyre</w:t>
      </w:r>
    </w:p>
    <w:p w:rsidR="00D74B9F" w:rsidRDefault="00D74B9F" w:rsidP="00D74B9F">
      <w:pPr>
        <w:jc w:val="center"/>
        <w:rPr>
          <w:rFonts w:eastAsia="Times New Roman" w:cstheme="minorHAnsi"/>
          <w:lang w:eastAsia="fr-FR"/>
        </w:rPr>
      </w:pPr>
      <w:r>
        <w:rPr>
          <w:rFonts w:eastAsia="Times New Roman" w:cstheme="minorHAnsi"/>
          <w:lang w:eastAsia="fr-FR"/>
        </w:rPr>
        <w:t xml:space="preserve">Tel : 0590 99 </w:t>
      </w:r>
      <w:proofErr w:type="spellStart"/>
      <w:r>
        <w:rPr>
          <w:rFonts w:eastAsia="Times New Roman" w:cstheme="minorHAnsi"/>
          <w:lang w:eastAsia="fr-FR"/>
        </w:rPr>
        <w:t>99</w:t>
      </w:r>
      <w:proofErr w:type="spellEnd"/>
      <w:r>
        <w:rPr>
          <w:rFonts w:eastAsia="Times New Roman" w:cstheme="minorHAnsi"/>
          <w:lang w:eastAsia="fr-FR"/>
        </w:rPr>
        <w:t xml:space="preserve"> 65</w:t>
      </w:r>
    </w:p>
    <w:p w:rsidR="00D74B9F" w:rsidRDefault="00D74B9F" w:rsidP="00D74B9F">
      <w:pPr>
        <w:jc w:val="center"/>
      </w:pPr>
      <w:r>
        <w:t xml:space="preserve">Les dossiers doivent être envoyés à l’adresse suivante : </w:t>
      </w:r>
      <w:hyperlink r:id="rId7" w:history="1">
        <w:r>
          <w:rPr>
            <w:rStyle w:val="Lienhypertexte"/>
            <w:rFonts w:cstheme="minorHAnsi"/>
          </w:rPr>
          <w:t>ARS971-PROMOTION-SANTE@ars.sante.fr</w:t>
        </w:r>
      </w:hyperlink>
    </w:p>
    <w:p w:rsidR="00D74B9F" w:rsidRDefault="00D74B9F" w:rsidP="00D74B9F">
      <w:pPr>
        <w:jc w:val="center"/>
      </w:pPr>
      <w:r>
        <w:t>Se référer au guide du promoteur</w:t>
      </w:r>
    </w:p>
    <w:p w:rsidR="00913383" w:rsidRDefault="00913383">
      <w:pPr>
        <w:sectPr w:rsidR="00913383" w:rsidSect="00913383">
          <w:headerReference w:type="first" r:id="rId8"/>
          <w:pgSz w:w="11906" w:h="16838"/>
          <w:pgMar w:top="1417" w:right="1417" w:bottom="1417" w:left="1417" w:header="708" w:footer="708" w:gutter="0"/>
          <w:pgNumType w:start="1"/>
          <w:cols w:space="708"/>
          <w:titlePg/>
          <w:docGrid w:linePitch="360"/>
        </w:sectPr>
      </w:pPr>
    </w:p>
    <w:p w:rsidR="00913383" w:rsidRDefault="00913383"/>
    <w:sectPr w:rsidR="00913383" w:rsidSect="00913383">
      <w:headerReference w:type="first" r:id="rId9"/>
      <w:type w:val="continuous"/>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EBB" w:rsidRDefault="00B85EBB" w:rsidP="00EA7E42">
      <w:pPr>
        <w:spacing w:after="0" w:line="240" w:lineRule="auto"/>
      </w:pPr>
      <w:r>
        <w:separator/>
      </w:r>
    </w:p>
  </w:endnote>
  <w:endnote w:type="continuationSeparator" w:id="0">
    <w:p w:rsidR="00B85EBB" w:rsidRDefault="00B85EBB" w:rsidP="00EA7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EBB" w:rsidRDefault="00B85EBB" w:rsidP="00EA7E42">
      <w:pPr>
        <w:spacing w:after="0" w:line="240" w:lineRule="auto"/>
      </w:pPr>
      <w:r>
        <w:separator/>
      </w:r>
    </w:p>
  </w:footnote>
  <w:footnote w:type="continuationSeparator" w:id="0">
    <w:p w:rsidR="00B85EBB" w:rsidRDefault="00B85EBB" w:rsidP="00EA7E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383" w:rsidRPr="00EA7E42" w:rsidRDefault="00913383" w:rsidP="008317C8">
    <w:pPr>
      <w:ind w:left="3828" w:right="992"/>
      <w:jc w:val="center"/>
      <w:rPr>
        <w:b/>
        <w:i/>
        <w:caps/>
      </w:rPr>
    </w:pPr>
    <w:r>
      <w:rPr>
        <w:b/>
        <w:i/>
        <w:caps/>
        <w:noProof/>
        <w:lang w:eastAsia="fr-FR"/>
      </w:rPr>
      <w:drawing>
        <wp:anchor distT="0" distB="0" distL="114300" distR="114300" simplePos="0" relativeHeight="251661312" behindDoc="0" locked="0" layoutInCell="1" allowOverlap="1">
          <wp:simplePos x="0" y="0"/>
          <wp:positionH relativeFrom="column">
            <wp:posOffset>-69215</wp:posOffset>
          </wp:positionH>
          <wp:positionV relativeFrom="paragraph">
            <wp:posOffset>47625</wp:posOffset>
          </wp:positionV>
          <wp:extent cx="1385570" cy="890905"/>
          <wp:effectExtent l="19050" t="0" r="5080" b="0"/>
          <wp:wrapNone/>
          <wp:docPr id="2" name="Image 1" descr="I:\POLESANTEPUBLIQUE\PEPS\2016\Logo ARS\AS_guadeloupe_CMJN_CS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OLESANTEPUBLIQUE\PEPS\2016\Logo ARS\AS_guadeloupe_CMJN_CS3.eps"/>
                  <pic:cNvPicPr>
                    <a:picLocks noChangeAspect="1" noChangeArrowheads="1"/>
                  </pic:cNvPicPr>
                </pic:nvPicPr>
                <pic:blipFill>
                  <a:blip r:embed="rId1" cstate="print"/>
                  <a:srcRect/>
                  <a:stretch>
                    <a:fillRect/>
                  </a:stretch>
                </pic:blipFill>
                <pic:spPr bwMode="auto">
                  <a:xfrm>
                    <a:off x="0" y="0"/>
                    <a:ext cx="1385570" cy="890905"/>
                  </a:xfrm>
                  <a:prstGeom prst="rect">
                    <a:avLst/>
                  </a:prstGeom>
                  <a:noFill/>
                  <a:ln w="9525">
                    <a:noFill/>
                    <a:miter lim="800000"/>
                    <a:headEnd/>
                    <a:tailEnd/>
                  </a:ln>
                </pic:spPr>
              </pic:pic>
            </a:graphicData>
          </a:graphic>
        </wp:anchor>
      </w:drawing>
    </w:r>
    <w:r w:rsidRPr="00EA7E42">
      <w:rPr>
        <w:b/>
        <w:i/>
        <w:caps/>
      </w:rPr>
      <w:t>Agence régionale de Santé Guadeloupe, Saint-Martin, Saint-barthélémy</w:t>
    </w:r>
  </w:p>
  <w:p w:rsidR="00913383" w:rsidRPr="00EA7E42" w:rsidRDefault="00913383" w:rsidP="008317C8">
    <w:pPr>
      <w:ind w:left="3828" w:right="992"/>
      <w:jc w:val="center"/>
      <w:rPr>
        <w:b/>
        <w:i/>
        <w:caps/>
      </w:rPr>
    </w:pPr>
    <w:r w:rsidRPr="00EA7E42">
      <w:rPr>
        <w:b/>
        <w:i/>
        <w:caps/>
      </w:rPr>
      <w:t>Appel à Projets actions prévention et promotion de la santé 2018</w:t>
    </w:r>
  </w:p>
  <w:p w:rsidR="00913383" w:rsidRDefault="0091338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7C8" w:rsidRPr="00EA7E42" w:rsidRDefault="008317C8" w:rsidP="008317C8">
    <w:pPr>
      <w:ind w:left="3828" w:right="992"/>
      <w:jc w:val="center"/>
      <w:rPr>
        <w:b/>
        <w:i/>
        <w:caps/>
      </w:rPr>
    </w:pPr>
    <w:r>
      <w:rPr>
        <w:b/>
        <w:i/>
        <w:caps/>
        <w:noProof/>
        <w:lang w:eastAsia="fr-FR"/>
      </w:rPr>
      <w:drawing>
        <wp:anchor distT="0" distB="0" distL="114300" distR="114300" simplePos="0" relativeHeight="251659264" behindDoc="0" locked="0" layoutInCell="1" allowOverlap="1">
          <wp:simplePos x="0" y="0"/>
          <wp:positionH relativeFrom="column">
            <wp:posOffset>-69215</wp:posOffset>
          </wp:positionH>
          <wp:positionV relativeFrom="paragraph">
            <wp:posOffset>47625</wp:posOffset>
          </wp:positionV>
          <wp:extent cx="1385570" cy="890905"/>
          <wp:effectExtent l="19050" t="0" r="5080" b="0"/>
          <wp:wrapNone/>
          <wp:docPr id="1" name="Image 1" descr="I:\POLESANTEPUBLIQUE\PEPS\2016\Logo ARS\AS_guadeloupe_CMJN_CS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OLESANTEPUBLIQUE\PEPS\2016\Logo ARS\AS_guadeloupe_CMJN_CS3.eps"/>
                  <pic:cNvPicPr>
                    <a:picLocks noChangeAspect="1" noChangeArrowheads="1"/>
                  </pic:cNvPicPr>
                </pic:nvPicPr>
                <pic:blipFill>
                  <a:blip r:embed="rId1" cstate="print"/>
                  <a:srcRect/>
                  <a:stretch>
                    <a:fillRect/>
                  </a:stretch>
                </pic:blipFill>
                <pic:spPr bwMode="auto">
                  <a:xfrm>
                    <a:off x="0" y="0"/>
                    <a:ext cx="1385570" cy="890905"/>
                  </a:xfrm>
                  <a:prstGeom prst="rect">
                    <a:avLst/>
                  </a:prstGeom>
                  <a:noFill/>
                  <a:ln w="9525">
                    <a:noFill/>
                    <a:miter lim="800000"/>
                    <a:headEnd/>
                    <a:tailEnd/>
                  </a:ln>
                </pic:spPr>
              </pic:pic>
            </a:graphicData>
          </a:graphic>
        </wp:anchor>
      </w:drawing>
    </w:r>
    <w:r w:rsidRPr="00EA7E42">
      <w:rPr>
        <w:b/>
        <w:i/>
        <w:caps/>
      </w:rPr>
      <w:t>Agence régionale de Santé Guadeloupe, Saint-Martin, Saint-barthélémy</w:t>
    </w:r>
  </w:p>
  <w:p w:rsidR="008317C8" w:rsidRPr="00EA7E42" w:rsidRDefault="008317C8" w:rsidP="008317C8">
    <w:pPr>
      <w:ind w:left="3828" w:right="992"/>
      <w:jc w:val="center"/>
      <w:rPr>
        <w:b/>
        <w:i/>
        <w:caps/>
      </w:rPr>
    </w:pPr>
    <w:r w:rsidRPr="00EA7E42">
      <w:rPr>
        <w:b/>
        <w:i/>
        <w:caps/>
      </w:rPr>
      <w:t>Appel à Projets actions prévention et promotion de la santé 2018</w:t>
    </w:r>
  </w:p>
  <w:p w:rsidR="008317C8" w:rsidRDefault="008317C8">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rsids>
    <w:rsidRoot w:val="000E3575"/>
    <w:rsid w:val="000E3575"/>
    <w:rsid w:val="0010561C"/>
    <w:rsid w:val="001B4222"/>
    <w:rsid w:val="003878F8"/>
    <w:rsid w:val="003C12AD"/>
    <w:rsid w:val="003D6558"/>
    <w:rsid w:val="004E4D44"/>
    <w:rsid w:val="0076074D"/>
    <w:rsid w:val="00792120"/>
    <w:rsid w:val="008317C8"/>
    <w:rsid w:val="00872471"/>
    <w:rsid w:val="00875CE1"/>
    <w:rsid w:val="008C01F5"/>
    <w:rsid w:val="00913383"/>
    <w:rsid w:val="00A456D5"/>
    <w:rsid w:val="00A83CB8"/>
    <w:rsid w:val="00AD53D1"/>
    <w:rsid w:val="00B85EBB"/>
    <w:rsid w:val="00BF4276"/>
    <w:rsid w:val="00BF7105"/>
    <w:rsid w:val="00CF352E"/>
    <w:rsid w:val="00D25331"/>
    <w:rsid w:val="00D74B9F"/>
    <w:rsid w:val="00EA7E42"/>
    <w:rsid w:val="00FA0E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D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E35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E35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3575"/>
    <w:rPr>
      <w:rFonts w:ascii="Tahoma" w:hAnsi="Tahoma" w:cs="Tahoma"/>
      <w:sz w:val="16"/>
      <w:szCs w:val="16"/>
    </w:rPr>
  </w:style>
  <w:style w:type="paragraph" w:styleId="En-tte">
    <w:name w:val="header"/>
    <w:basedOn w:val="Normal"/>
    <w:link w:val="En-tteCar"/>
    <w:uiPriority w:val="99"/>
    <w:semiHidden/>
    <w:unhideWhenUsed/>
    <w:rsid w:val="00EA7E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A7E42"/>
  </w:style>
  <w:style w:type="paragraph" w:styleId="Pieddepage">
    <w:name w:val="footer"/>
    <w:basedOn w:val="Normal"/>
    <w:link w:val="PieddepageCar"/>
    <w:uiPriority w:val="99"/>
    <w:semiHidden/>
    <w:unhideWhenUsed/>
    <w:rsid w:val="00EA7E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A7E42"/>
  </w:style>
  <w:style w:type="character" w:styleId="Lienhypertexte">
    <w:name w:val="Hyperlink"/>
    <w:basedOn w:val="Policepardfaut"/>
    <w:uiPriority w:val="99"/>
    <w:unhideWhenUsed/>
    <w:rsid w:val="00A456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2092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S971-PROMOTION-SANTE@ars.sante.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1FC78-D07E-4A4F-9DCA-AFC802D74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370</Words>
  <Characters>2040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lboulon</dc:creator>
  <cp:lastModifiedBy>lboulon</cp:lastModifiedBy>
  <cp:revision>5</cp:revision>
  <cp:lastPrinted>2018-04-13T19:15:00Z</cp:lastPrinted>
  <dcterms:created xsi:type="dcterms:W3CDTF">2018-04-10T03:52:00Z</dcterms:created>
  <dcterms:modified xsi:type="dcterms:W3CDTF">2018-04-16T22:28:00Z</dcterms:modified>
</cp:coreProperties>
</file>