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page" w:horzAnchor="margin" w:tblpY="2417"/>
        <w:tblW w:w="0" w:type="auto"/>
        <w:tblLook w:val="04A0"/>
      </w:tblPr>
      <w:tblGrid>
        <w:gridCol w:w="1951"/>
        <w:gridCol w:w="7261"/>
      </w:tblGrid>
      <w:tr w:rsidR="00D16F69" w:rsidTr="00EA7E42">
        <w:tc>
          <w:tcPr>
            <w:tcW w:w="1951" w:type="dxa"/>
            <w:tcBorders>
              <w:bottom w:val="single" w:sz="4" w:space="0" w:color="000000" w:themeColor="text1"/>
            </w:tcBorders>
            <w:shd w:val="clear" w:color="auto" w:fill="C4BC96" w:themeFill="background2" w:themeFillShade="BF"/>
          </w:tcPr>
          <w:p w:rsidR="00D16F69" w:rsidRDefault="00D16F69" w:rsidP="00EA7E42"/>
          <w:p w:rsidR="00D16F69" w:rsidRPr="00BF7105" w:rsidRDefault="00D16F69" w:rsidP="00EA7E42">
            <w:pPr>
              <w:rPr>
                <w:b/>
                <w:i/>
              </w:rPr>
            </w:pPr>
            <w:r w:rsidRPr="00BF7105">
              <w:rPr>
                <w:b/>
                <w:i/>
              </w:rPr>
              <w:t>Fiche thématique</w:t>
            </w:r>
          </w:p>
          <w:p w:rsidR="00D16F69" w:rsidRDefault="00D16F69" w:rsidP="00EA7E42"/>
        </w:tc>
        <w:tc>
          <w:tcPr>
            <w:tcW w:w="7261" w:type="dxa"/>
            <w:tcBorders>
              <w:bottom w:val="single" w:sz="4" w:space="0" w:color="000000" w:themeColor="text1"/>
            </w:tcBorders>
          </w:tcPr>
          <w:p w:rsidR="00D16F69" w:rsidRDefault="00D16F69" w:rsidP="00EA7E42"/>
          <w:p w:rsidR="00D16F69" w:rsidRPr="00EA7E42" w:rsidRDefault="00D16F69" w:rsidP="00EA7E42">
            <w:pPr>
              <w:rPr>
                <w:b/>
                <w:i/>
                <w:caps/>
                <w:u w:val="single"/>
              </w:rPr>
            </w:pPr>
            <w:r w:rsidRPr="00ED4E16">
              <w:rPr>
                <w:b/>
                <w:i/>
                <w:caps/>
                <w:noProof/>
                <w:u w:val="single"/>
              </w:rPr>
              <w:t>drépanocytose</w:t>
            </w:r>
          </w:p>
          <w:p w:rsidR="00D16F69" w:rsidRDefault="00D16F69" w:rsidP="00EA7E42"/>
        </w:tc>
      </w:tr>
      <w:tr w:rsidR="00D16F69" w:rsidTr="00EA7E42">
        <w:tc>
          <w:tcPr>
            <w:tcW w:w="9212" w:type="dxa"/>
            <w:gridSpan w:val="2"/>
            <w:shd w:val="clear" w:color="auto" w:fill="C4BC96" w:themeFill="background2" w:themeFillShade="BF"/>
          </w:tcPr>
          <w:p w:rsidR="00D16F69" w:rsidRDefault="00D16F69" w:rsidP="00EA7E42"/>
          <w:p w:rsidR="00D16F69" w:rsidRPr="00BF7105" w:rsidRDefault="00D16F69" w:rsidP="00EA7E42">
            <w:pPr>
              <w:jc w:val="center"/>
              <w:rPr>
                <w:b/>
                <w:i/>
              </w:rPr>
            </w:pPr>
            <w:r w:rsidRPr="00BF7105">
              <w:rPr>
                <w:b/>
                <w:i/>
              </w:rPr>
              <w:t>Contexte et objectifs</w:t>
            </w:r>
          </w:p>
          <w:p w:rsidR="00D16F69" w:rsidRDefault="00D16F69" w:rsidP="00EA7E42"/>
        </w:tc>
      </w:tr>
      <w:tr w:rsidR="00D16F69" w:rsidTr="00EA7E42">
        <w:tc>
          <w:tcPr>
            <w:tcW w:w="9212" w:type="dxa"/>
            <w:gridSpan w:val="2"/>
            <w:tcBorders>
              <w:bottom w:val="single" w:sz="4" w:space="0" w:color="000000" w:themeColor="text1"/>
            </w:tcBorders>
          </w:tcPr>
          <w:p w:rsidR="00D16F69" w:rsidRDefault="00D16F69" w:rsidP="00EA7E42"/>
          <w:p w:rsidR="00D16F69" w:rsidRDefault="00D16F69" w:rsidP="00FA0E70">
            <w:pPr>
              <w:jc w:val="both"/>
              <w:rPr>
                <w:noProof/>
              </w:rPr>
            </w:pPr>
            <w:r>
              <w:rPr>
                <w:noProof/>
              </w:rPr>
              <w:t>La drépanocytose est la maladie génétique la plus répandue dans le monde et en Guadeloupe.  C’est une maladie invalidante ayant des répercussions sur la qualité de vie des personnes atteintes. En Guadeloupe, 12% de la population est porteur du trait drépanocytaire, soient environ 120 couples à risque par an. L’incidence à</w:t>
            </w:r>
            <w:r w:rsidR="004A7A67">
              <w:rPr>
                <w:noProof/>
              </w:rPr>
              <w:t xml:space="preserve"> la naissance y est d’environ 1</w:t>
            </w:r>
            <w:r>
              <w:rPr>
                <w:noProof/>
              </w:rPr>
              <w:t>/350.</w:t>
            </w:r>
          </w:p>
          <w:p w:rsidR="00B372DC" w:rsidRDefault="00B372DC" w:rsidP="00FA0E70">
            <w:pPr>
              <w:jc w:val="both"/>
              <w:rPr>
                <w:noProof/>
              </w:rPr>
            </w:pPr>
          </w:p>
          <w:p w:rsidR="00D16F69" w:rsidRDefault="00D16F69" w:rsidP="00FA0E70">
            <w:pPr>
              <w:jc w:val="both"/>
              <w:rPr>
                <w:noProof/>
              </w:rPr>
            </w:pPr>
            <w:r>
              <w:rPr>
                <w:noProof/>
              </w:rPr>
              <w:t xml:space="preserve">Si le dépistage est aujourd’hui systématique à la naissance, les résultats ne sont pas toujours connus des parents. Aussi, des transmetteurs qui s’ignorent et des enfants malades, </w:t>
            </w:r>
            <w:r w:rsidR="000F3B12">
              <w:rPr>
                <w:noProof/>
              </w:rPr>
              <w:t xml:space="preserve">peuvent être « perdus de vue » </w:t>
            </w:r>
            <w:r>
              <w:rPr>
                <w:noProof/>
              </w:rPr>
              <w:t xml:space="preserve">jusqu’à la survenue d’une crise grave. C’est </w:t>
            </w:r>
            <w:r w:rsidR="000F3B12">
              <w:rPr>
                <w:noProof/>
              </w:rPr>
              <w:t xml:space="preserve">précisémment </w:t>
            </w:r>
            <w:r>
              <w:rPr>
                <w:noProof/>
              </w:rPr>
              <w:t xml:space="preserve">pour éviter ces situations que la prévention doit être intensifiée. </w:t>
            </w:r>
          </w:p>
          <w:p w:rsidR="00D16F69" w:rsidRDefault="00D16F69" w:rsidP="00EA7E42">
            <w:pPr>
              <w:jc w:val="both"/>
            </w:pPr>
          </w:p>
          <w:p w:rsidR="00D16F69" w:rsidRDefault="00D16F69" w:rsidP="00EA7E42"/>
        </w:tc>
      </w:tr>
      <w:tr w:rsidR="00D16F69" w:rsidTr="00EA7E42">
        <w:tc>
          <w:tcPr>
            <w:tcW w:w="9212" w:type="dxa"/>
            <w:gridSpan w:val="2"/>
            <w:tcBorders>
              <w:bottom w:val="single" w:sz="4" w:space="0" w:color="000000" w:themeColor="text1"/>
            </w:tcBorders>
            <w:shd w:val="clear" w:color="auto" w:fill="C4BC96" w:themeFill="background2" w:themeFillShade="BF"/>
          </w:tcPr>
          <w:p w:rsidR="00D16F69" w:rsidRDefault="00D16F69" w:rsidP="00EA7E42"/>
          <w:p w:rsidR="00D16F69" w:rsidRPr="00BF7105" w:rsidRDefault="00D16F69" w:rsidP="00EA7E42">
            <w:pPr>
              <w:jc w:val="center"/>
              <w:rPr>
                <w:b/>
                <w:i/>
              </w:rPr>
            </w:pPr>
            <w:r>
              <w:rPr>
                <w:b/>
                <w:i/>
              </w:rPr>
              <w:t>O</w:t>
            </w:r>
            <w:r w:rsidRPr="00BF7105">
              <w:rPr>
                <w:b/>
                <w:i/>
              </w:rPr>
              <w:t>bjectifs</w:t>
            </w:r>
          </w:p>
          <w:p w:rsidR="00D16F69" w:rsidRDefault="00D16F69" w:rsidP="00EA7E42"/>
        </w:tc>
      </w:tr>
      <w:tr w:rsidR="00D16F69" w:rsidTr="00EA7E42">
        <w:tc>
          <w:tcPr>
            <w:tcW w:w="9212" w:type="dxa"/>
            <w:gridSpan w:val="2"/>
            <w:tcBorders>
              <w:bottom w:val="single" w:sz="4" w:space="0" w:color="000000" w:themeColor="text1"/>
            </w:tcBorders>
          </w:tcPr>
          <w:p w:rsidR="00D16F69" w:rsidRDefault="00D16F69" w:rsidP="00EA7E42"/>
          <w:p w:rsidR="00D16F69" w:rsidRDefault="00D16F69" w:rsidP="00FA0E70">
            <w:pPr>
              <w:jc w:val="both"/>
              <w:rPr>
                <w:noProof/>
              </w:rPr>
            </w:pPr>
            <w:r>
              <w:rPr>
                <w:noProof/>
              </w:rPr>
              <w:t>1- Informer sur la drépanocytose afin de permettre des choix éclairés devant des situations à risques de naissances d’enfants drépanocytaires</w:t>
            </w:r>
            <w:r w:rsidR="000759A4">
              <w:rPr>
                <w:noProof/>
              </w:rPr>
              <w:t xml:space="preserve"> non désirées</w:t>
            </w:r>
            <w:r>
              <w:rPr>
                <w:noProof/>
              </w:rPr>
              <w:t>.</w:t>
            </w:r>
          </w:p>
          <w:p w:rsidR="00D16F69" w:rsidRDefault="00D16F69" w:rsidP="00FA0E70">
            <w:pPr>
              <w:jc w:val="both"/>
              <w:rPr>
                <w:noProof/>
              </w:rPr>
            </w:pPr>
            <w:r>
              <w:rPr>
                <w:noProof/>
              </w:rPr>
              <w:t>2- Identifier et Former des relais d’information au sein de structures telles que les mairies (élus en charge des mariages), de communautés religieuses (personnes en charge de la préparation au mariage), au sein d’associations sportives (éducateurs sportifs)…</w:t>
            </w:r>
          </w:p>
          <w:p w:rsidR="00D16F69" w:rsidRDefault="00D16F69" w:rsidP="00FA0E70">
            <w:pPr>
              <w:jc w:val="both"/>
              <w:rPr>
                <w:noProof/>
              </w:rPr>
            </w:pPr>
            <w:r>
              <w:rPr>
                <w:noProof/>
              </w:rPr>
              <w:t xml:space="preserve">3- Amener la population à connaître son statut hémoglobinique </w:t>
            </w:r>
          </w:p>
          <w:p w:rsidR="00D16F69" w:rsidRDefault="00D16F69" w:rsidP="00EA7E42">
            <w:pPr>
              <w:jc w:val="both"/>
            </w:pPr>
          </w:p>
          <w:p w:rsidR="00D16F69" w:rsidRDefault="00D16F69" w:rsidP="00EA7E42"/>
        </w:tc>
      </w:tr>
      <w:tr w:rsidR="00D16F69" w:rsidTr="00EA7E42">
        <w:tc>
          <w:tcPr>
            <w:tcW w:w="9212" w:type="dxa"/>
            <w:gridSpan w:val="2"/>
            <w:shd w:val="clear" w:color="auto" w:fill="C4BC96" w:themeFill="background2" w:themeFillShade="BF"/>
          </w:tcPr>
          <w:p w:rsidR="00D16F69" w:rsidRPr="00BF7105" w:rsidRDefault="00D16F69" w:rsidP="00EA7E42">
            <w:pPr>
              <w:rPr>
                <w:b/>
                <w:i/>
              </w:rPr>
            </w:pPr>
          </w:p>
          <w:p w:rsidR="00D16F69" w:rsidRPr="00BF7105" w:rsidRDefault="00D16F69" w:rsidP="00EA7E42">
            <w:pPr>
              <w:jc w:val="center"/>
              <w:rPr>
                <w:b/>
                <w:i/>
              </w:rPr>
            </w:pPr>
            <w:r w:rsidRPr="00BF7105">
              <w:rPr>
                <w:b/>
                <w:i/>
              </w:rPr>
              <w:t>Type d’actions</w:t>
            </w:r>
          </w:p>
          <w:p w:rsidR="00D16F69" w:rsidRDefault="00D16F69" w:rsidP="00EA7E42"/>
        </w:tc>
      </w:tr>
      <w:tr w:rsidR="00D16F69" w:rsidTr="00EA7E42">
        <w:tc>
          <w:tcPr>
            <w:tcW w:w="9212" w:type="dxa"/>
            <w:gridSpan w:val="2"/>
            <w:tcBorders>
              <w:bottom w:val="single" w:sz="4" w:space="0" w:color="000000" w:themeColor="text1"/>
            </w:tcBorders>
          </w:tcPr>
          <w:p w:rsidR="00D16F69" w:rsidRDefault="00D16F69" w:rsidP="00EA7E42"/>
          <w:p w:rsidR="00B372DC" w:rsidRDefault="00B372DC" w:rsidP="00EA7E42"/>
          <w:p w:rsidR="00B372DC" w:rsidRDefault="00B372DC" w:rsidP="00EA7E42"/>
          <w:p w:rsidR="00D16F69" w:rsidRDefault="00D16F69" w:rsidP="00FA0E70">
            <w:pPr>
              <w:jc w:val="both"/>
              <w:rPr>
                <w:noProof/>
              </w:rPr>
            </w:pPr>
            <w:r>
              <w:rPr>
                <w:noProof/>
              </w:rPr>
              <w:t xml:space="preserve">1- Actions d'information, de sensibilisation et de communication </w:t>
            </w:r>
          </w:p>
          <w:p w:rsidR="00D16F69" w:rsidRDefault="00D16F69" w:rsidP="00FA0E70">
            <w:pPr>
              <w:jc w:val="both"/>
              <w:rPr>
                <w:noProof/>
              </w:rPr>
            </w:pPr>
            <w:r>
              <w:rPr>
                <w:noProof/>
              </w:rPr>
              <w:t xml:space="preserve">2- Création d'outils pédagogiques. Exemples : courts métrages, pièce de théâtre - saynètes (sur la maladie, les risques, la nécessité de connaître son statut) </w:t>
            </w:r>
          </w:p>
          <w:p w:rsidR="00D16F69" w:rsidRDefault="00D16F69" w:rsidP="00FA0E70">
            <w:pPr>
              <w:jc w:val="both"/>
              <w:rPr>
                <w:noProof/>
              </w:rPr>
            </w:pPr>
            <w:r>
              <w:rPr>
                <w:noProof/>
              </w:rPr>
              <w:t>L’ARS sera attentive aux actions de prévention par les pairs et favorisant un partenariat avec les associations ou professionnels de santé œuvrant dans ce domaine ou avec l’unité transversale de la drépanocytose.</w:t>
            </w:r>
          </w:p>
          <w:p w:rsidR="00D16F69" w:rsidRDefault="00D16F69" w:rsidP="00FA0E70">
            <w:pPr>
              <w:jc w:val="both"/>
              <w:rPr>
                <w:noProof/>
              </w:rPr>
            </w:pPr>
            <w:r>
              <w:rPr>
                <w:noProof/>
              </w:rPr>
              <w:t>L’agence s’engage à soutenir des projets innovants associant une équipe comprenant un ou des professionnels de santé et dans la mesure du possible des drépanocytaires ou</w:t>
            </w:r>
            <w:r w:rsidR="00640A26">
              <w:rPr>
                <w:noProof/>
              </w:rPr>
              <w:t xml:space="preserve"> leurs</w:t>
            </w:r>
            <w:r>
              <w:rPr>
                <w:noProof/>
              </w:rPr>
              <w:t xml:space="preserve"> familles pour assurer la validité des informations transmises.</w:t>
            </w:r>
          </w:p>
          <w:p w:rsidR="00D16F69" w:rsidRDefault="00D16F69" w:rsidP="00EA7E42">
            <w:pPr>
              <w:jc w:val="both"/>
            </w:pPr>
          </w:p>
          <w:p w:rsidR="00B372DC" w:rsidRDefault="00B372DC" w:rsidP="00EA7E42">
            <w:pPr>
              <w:jc w:val="both"/>
            </w:pPr>
          </w:p>
          <w:p w:rsidR="00B372DC" w:rsidRDefault="00B372DC" w:rsidP="00EA7E42">
            <w:pPr>
              <w:jc w:val="both"/>
            </w:pPr>
          </w:p>
          <w:p w:rsidR="00D16F69" w:rsidRDefault="00D16F69" w:rsidP="00EA7E42"/>
        </w:tc>
      </w:tr>
      <w:tr w:rsidR="00D16F69" w:rsidTr="00EA7E42">
        <w:tc>
          <w:tcPr>
            <w:tcW w:w="9212" w:type="dxa"/>
            <w:gridSpan w:val="2"/>
            <w:shd w:val="clear" w:color="auto" w:fill="C4BC96" w:themeFill="background2" w:themeFillShade="BF"/>
          </w:tcPr>
          <w:p w:rsidR="00D16F69" w:rsidRPr="00BF7105" w:rsidRDefault="00D16F69" w:rsidP="00EA7E42">
            <w:pPr>
              <w:jc w:val="center"/>
              <w:rPr>
                <w:b/>
                <w:i/>
              </w:rPr>
            </w:pPr>
          </w:p>
          <w:p w:rsidR="00D16F69" w:rsidRPr="00BF7105" w:rsidRDefault="00D16F69" w:rsidP="00EA7E42">
            <w:pPr>
              <w:jc w:val="center"/>
              <w:rPr>
                <w:b/>
                <w:i/>
              </w:rPr>
            </w:pPr>
            <w:r w:rsidRPr="00BF7105">
              <w:rPr>
                <w:b/>
                <w:i/>
              </w:rPr>
              <w:t>Public Cible</w:t>
            </w:r>
          </w:p>
          <w:p w:rsidR="00D16F69" w:rsidRDefault="00D16F69" w:rsidP="00EA7E42"/>
        </w:tc>
      </w:tr>
      <w:tr w:rsidR="00D16F69" w:rsidTr="00EA7E42">
        <w:tc>
          <w:tcPr>
            <w:tcW w:w="9212" w:type="dxa"/>
            <w:gridSpan w:val="2"/>
            <w:tcBorders>
              <w:bottom w:val="single" w:sz="4" w:space="0" w:color="000000" w:themeColor="text1"/>
            </w:tcBorders>
          </w:tcPr>
          <w:p w:rsidR="00D16F69" w:rsidRDefault="00D16F69" w:rsidP="00EA7E42"/>
          <w:p w:rsidR="00D16F69" w:rsidRDefault="00D16F69" w:rsidP="00EA7E42">
            <w:pPr>
              <w:jc w:val="both"/>
            </w:pPr>
            <w:r>
              <w:rPr>
                <w:noProof/>
              </w:rPr>
              <w:t>La population générale et plus spécifiquement, les jeunes hors milieu scolaire, les jeunes couples, les communautés religieuses, les élus en charge du mariage.</w:t>
            </w:r>
          </w:p>
          <w:p w:rsidR="00D16F69" w:rsidRDefault="00D16F69" w:rsidP="00EA7E42"/>
        </w:tc>
      </w:tr>
      <w:tr w:rsidR="00D16F69" w:rsidTr="00EA7E42">
        <w:tc>
          <w:tcPr>
            <w:tcW w:w="9212" w:type="dxa"/>
            <w:gridSpan w:val="2"/>
            <w:shd w:val="clear" w:color="auto" w:fill="C4BC96" w:themeFill="background2" w:themeFillShade="BF"/>
          </w:tcPr>
          <w:p w:rsidR="00D16F69" w:rsidRDefault="00D16F69" w:rsidP="00EA7E42"/>
          <w:p w:rsidR="00D16F69" w:rsidRPr="00BF7105" w:rsidRDefault="00D16F69" w:rsidP="00EA7E42">
            <w:pPr>
              <w:jc w:val="center"/>
              <w:rPr>
                <w:b/>
                <w:i/>
              </w:rPr>
            </w:pPr>
            <w:r w:rsidRPr="00BF7105">
              <w:rPr>
                <w:b/>
                <w:i/>
              </w:rPr>
              <w:t>Territoire</w:t>
            </w:r>
          </w:p>
          <w:p w:rsidR="00D16F69" w:rsidRDefault="00D16F69" w:rsidP="00EA7E42"/>
        </w:tc>
      </w:tr>
      <w:tr w:rsidR="00D16F69" w:rsidTr="00EA7E42">
        <w:tc>
          <w:tcPr>
            <w:tcW w:w="9212" w:type="dxa"/>
            <w:gridSpan w:val="2"/>
          </w:tcPr>
          <w:p w:rsidR="00D16F69" w:rsidRDefault="00D16F69" w:rsidP="00EA7E42"/>
          <w:p w:rsidR="00D16F69" w:rsidRDefault="00D16F69" w:rsidP="00EA7E42">
            <w:pPr>
              <w:jc w:val="both"/>
            </w:pPr>
            <w:r>
              <w:rPr>
                <w:noProof/>
              </w:rPr>
              <w:t>Région Guadeloupe -Saint-Martin et Saint-Barthélemy</w:t>
            </w:r>
          </w:p>
          <w:p w:rsidR="00D16F69" w:rsidRDefault="00D16F69" w:rsidP="00EA7E42"/>
        </w:tc>
      </w:tr>
    </w:tbl>
    <w:p w:rsidR="00D16F69" w:rsidRDefault="00D16F69"/>
    <w:p w:rsidR="00D16F69" w:rsidRDefault="00D16F69" w:rsidP="00A456D5">
      <w:pPr>
        <w:jc w:val="center"/>
        <w:rPr>
          <w:rFonts w:eastAsia="Times New Roman" w:cstheme="minorHAnsi"/>
          <w:lang w:eastAsia="fr-FR"/>
        </w:rPr>
      </w:pPr>
      <w:r w:rsidRPr="00D91DF3">
        <w:rPr>
          <w:rFonts w:eastAsia="Times New Roman" w:cstheme="minorHAnsi"/>
          <w:b/>
          <w:sz w:val="28"/>
          <w:szCs w:val="28"/>
          <w:lang w:eastAsia="fr-FR"/>
        </w:rPr>
        <w:t>Contact :</w:t>
      </w:r>
      <w:r w:rsidRPr="00D91DF3">
        <w:rPr>
          <w:rFonts w:eastAsia="Times New Roman" w:cstheme="minorHAnsi"/>
          <w:lang w:eastAsia="fr-FR"/>
        </w:rPr>
        <w:t xml:space="preserve"> </w:t>
      </w:r>
    </w:p>
    <w:p w:rsidR="00D16F69" w:rsidRDefault="00D16F69" w:rsidP="00527E9B">
      <w:pPr>
        <w:jc w:val="center"/>
        <w:rPr>
          <w:rFonts w:eastAsia="Times New Roman" w:cstheme="minorHAnsi"/>
          <w:lang w:eastAsia="fr-FR"/>
        </w:rPr>
      </w:pPr>
      <w:r w:rsidRPr="00D91DF3">
        <w:rPr>
          <w:rFonts w:eastAsia="Times New Roman" w:cstheme="minorHAnsi"/>
          <w:lang w:eastAsia="fr-FR"/>
        </w:rPr>
        <w:t>M. Lionel BOULON</w:t>
      </w:r>
    </w:p>
    <w:p w:rsidR="00D16F69" w:rsidRDefault="00D16F69" w:rsidP="00A456D5">
      <w:pPr>
        <w:jc w:val="center"/>
        <w:rPr>
          <w:rFonts w:eastAsia="Times New Roman" w:cstheme="minorHAnsi"/>
          <w:lang w:eastAsia="fr-FR"/>
        </w:rPr>
      </w:pPr>
      <w:r w:rsidRPr="00D91DF3">
        <w:rPr>
          <w:rFonts w:eastAsia="Times New Roman" w:cstheme="minorHAnsi"/>
          <w:lang w:eastAsia="fr-FR"/>
        </w:rPr>
        <w:t>Agence Régionale de Santé de Guadeloupe, Saint-Martin, Saint–Barthélemy</w:t>
      </w:r>
    </w:p>
    <w:p w:rsidR="00D16F69" w:rsidRDefault="00D16F69" w:rsidP="00A456D5">
      <w:pPr>
        <w:jc w:val="center"/>
        <w:rPr>
          <w:rFonts w:eastAsia="Times New Roman" w:cstheme="minorHAnsi"/>
          <w:lang w:eastAsia="fr-FR"/>
        </w:rPr>
      </w:pPr>
      <w:r w:rsidRPr="00D91DF3">
        <w:rPr>
          <w:rFonts w:eastAsia="Times New Roman" w:cstheme="minorHAnsi"/>
          <w:lang w:eastAsia="fr-FR"/>
        </w:rPr>
        <w:t xml:space="preserve">Service </w:t>
      </w:r>
      <w:r w:rsidRPr="00D91DF3">
        <w:rPr>
          <w:rFonts w:cstheme="minorHAnsi"/>
        </w:rPr>
        <w:t>Prévention Educat</w:t>
      </w:r>
      <w:r w:rsidR="00527E9B">
        <w:rPr>
          <w:rFonts w:cstheme="minorHAnsi"/>
        </w:rPr>
        <w:t>ion et Promotion de la Santé</w:t>
      </w:r>
    </w:p>
    <w:p w:rsidR="00D16F69" w:rsidRDefault="00D16F69" w:rsidP="00A456D5">
      <w:pPr>
        <w:jc w:val="center"/>
        <w:rPr>
          <w:rFonts w:eastAsia="Times New Roman" w:cstheme="minorHAnsi"/>
          <w:lang w:eastAsia="fr-FR"/>
        </w:rPr>
      </w:pPr>
      <w:r w:rsidRPr="00D91DF3">
        <w:rPr>
          <w:rFonts w:eastAsia="Times New Roman" w:cstheme="minorHAnsi"/>
          <w:lang w:eastAsia="fr-FR"/>
        </w:rPr>
        <w:t>Route des Archives</w:t>
      </w:r>
    </w:p>
    <w:p w:rsidR="00D16F69" w:rsidRDefault="00D16F69" w:rsidP="00A456D5">
      <w:pPr>
        <w:jc w:val="center"/>
        <w:rPr>
          <w:rFonts w:eastAsia="Times New Roman" w:cstheme="minorHAnsi"/>
          <w:lang w:eastAsia="fr-FR"/>
        </w:rPr>
      </w:pPr>
      <w:r w:rsidRPr="00D91DF3">
        <w:rPr>
          <w:rFonts w:eastAsia="Times New Roman" w:cstheme="minorHAnsi"/>
          <w:lang w:eastAsia="fr-FR"/>
        </w:rPr>
        <w:t>97113 Gourbeyre</w:t>
      </w:r>
    </w:p>
    <w:p w:rsidR="00D16F69" w:rsidRDefault="00D16F69" w:rsidP="00A456D5">
      <w:pPr>
        <w:jc w:val="center"/>
        <w:rPr>
          <w:rFonts w:eastAsia="Times New Roman" w:cstheme="minorHAnsi"/>
          <w:lang w:eastAsia="fr-FR"/>
        </w:rPr>
      </w:pPr>
      <w:r w:rsidRPr="00D91DF3">
        <w:rPr>
          <w:rFonts w:eastAsia="Times New Roman" w:cstheme="minorHAnsi"/>
          <w:lang w:eastAsia="fr-FR"/>
        </w:rPr>
        <w:t>Tel : 0590 99 99 65</w:t>
      </w:r>
    </w:p>
    <w:p w:rsidR="00D16F69" w:rsidRDefault="00A60D4E" w:rsidP="00A456D5">
      <w:pPr>
        <w:jc w:val="center"/>
      </w:pPr>
      <w:r>
        <w:t xml:space="preserve">Les dossiers doivent être envoyés à l’adresse suivante : </w:t>
      </w:r>
      <w:hyperlink r:id="rId7" w:history="1">
        <w:r w:rsidR="00D16F69" w:rsidRPr="00D91DF3">
          <w:rPr>
            <w:rFonts w:cstheme="minorHAnsi"/>
          </w:rPr>
          <w:t>ARS971-PROMOTION-SANTE@ars.sante.fr</w:t>
        </w:r>
      </w:hyperlink>
    </w:p>
    <w:p w:rsidR="00D16F69" w:rsidRDefault="00D16F69">
      <w:pPr>
        <w:sectPr w:rsidR="00D16F69" w:rsidSect="00D16F69">
          <w:headerReference w:type="first" r:id="rId8"/>
          <w:pgSz w:w="11906" w:h="16838"/>
          <w:pgMar w:top="1417" w:right="1417" w:bottom="1417" w:left="1417" w:header="708" w:footer="708" w:gutter="0"/>
          <w:pgNumType w:start="1"/>
          <w:cols w:space="708"/>
          <w:titlePg/>
          <w:docGrid w:linePitch="360"/>
        </w:sectPr>
      </w:pPr>
    </w:p>
    <w:p w:rsidR="00D16F69" w:rsidRDefault="00D16F69"/>
    <w:sectPr w:rsidR="00D16F69" w:rsidSect="00D16F69">
      <w:headerReference w:type="first" r:id="rId9"/>
      <w:type w:val="continuous"/>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A67" w:rsidRDefault="004A7A67" w:rsidP="00EA7E42">
      <w:pPr>
        <w:spacing w:after="0" w:line="240" w:lineRule="auto"/>
      </w:pPr>
      <w:r>
        <w:separator/>
      </w:r>
    </w:p>
  </w:endnote>
  <w:endnote w:type="continuationSeparator" w:id="0">
    <w:p w:rsidR="004A7A67" w:rsidRDefault="004A7A67" w:rsidP="00EA7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A67" w:rsidRDefault="004A7A67" w:rsidP="00EA7E42">
      <w:pPr>
        <w:spacing w:after="0" w:line="240" w:lineRule="auto"/>
      </w:pPr>
      <w:r>
        <w:separator/>
      </w:r>
    </w:p>
  </w:footnote>
  <w:footnote w:type="continuationSeparator" w:id="0">
    <w:p w:rsidR="004A7A67" w:rsidRDefault="004A7A67" w:rsidP="00EA7E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A67" w:rsidRPr="00EA7E42" w:rsidRDefault="004A7A67" w:rsidP="008317C8">
    <w:pPr>
      <w:ind w:left="3828" w:right="992"/>
      <w:jc w:val="center"/>
      <w:rPr>
        <w:b/>
        <w:i/>
        <w:caps/>
      </w:rPr>
    </w:pPr>
    <w:r>
      <w:rPr>
        <w:b/>
        <w:i/>
        <w:caps/>
        <w:noProof/>
        <w:lang w:eastAsia="fr-FR"/>
      </w:rPr>
      <w:drawing>
        <wp:anchor distT="0" distB="0" distL="114300" distR="114300" simplePos="0" relativeHeight="251661312" behindDoc="0" locked="0" layoutInCell="1" allowOverlap="1">
          <wp:simplePos x="0" y="0"/>
          <wp:positionH relativeFrom="column">
            <wp:posOffset>-69215</wp:posOffset>
          </wp:positionH>
          <wp:positionV relativeFrom="paragraph">
            <wp:posOffset>47625</wp:posOffset>
          </wp:positionV>
          <wp:extent cx="1385570" cy="890905"/>
          <wp:effectExtent l="19050" t="0" r="5080" b="0"/>
          <wp:wrapNone/>
          <wp:docPr id="2" name="Image 1" descr="I:\POLESANTEPUBLIQUE\PEPS\2016\Logo ARS\AS_guadeloupe_CMJN_CS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OLESANTEPUBLIQUE\PEPS\2016\Logo ARS\AS_guadeloupe_CMJN_CS3.eps"/>
                  <pic:cNvPicPr>
                    <a:picLocks noChangeAspect="1" noChangeArrowheads="1"/>
                  </pic:cNvPicPr>
                </pic:nvPicPr>
                <pic:blipFill>
                  <a:blip r:embed="rId1" cstate="print"/>
                  <a:srcRect/>
                  <a:stretch>
                    <a:fillRect/>
                  </a:stretch>
                </pic:blipFill>
                <pic:spPr bwMode="auto">
                  <a:xfrm>
                    <a:off x="0" y="0"/>
                    <a:ext cx="1385570" cy="890905"/>
                  </a:xfrm>
                  <a:prstGeom prst="rect">
                    <a:avLst/>
                  </a:prstGeom>
                  <a:noFill/>
                  <a:ln w="9525">
                    <a:noFill/>
                    <a:miter lim="800000"/>
                    <a:headEnd/>
                    <a:tailEnd/>
                  </a:ln>
                </pic:spPr>
              </pic:pic>
            </a:graphicData>
          </a:graphic>
        </wp:anchor>
      </w:drawing>
    </w:r>
    <w:r w:rsidRPr="00EA7E42">
      <w:rPr>
        <w:b/>
        <w:i/>
        <w:caps/>
      </w:rPr>
      <w:t>Agence régionale de Santé Guadeloupe, Saint-Martin, Saint-barthélémy</w:t>
    </w:r>
  </w:p>
  <w:p w:rsidR="004A7A67" w:rsidRPr="00EA7E42" w:rsidRDefault="004A7A67" w:rsidP="008317C8">
    <w:pPr>
      <w:ind w:left="3828" w:right="992"/>
      <w:jc w:val="center"/>
      <w:rPr>
        <w:b/>
        <w:i/>
        <w:caps/>
      </w:rPr>
    </w:pPr>
    <w:r w:rsidRPr="00EA7E42">
      <w:rPr>
        <w:b/>
        <w:i/>
        <w:caps/>
      </w:rPr>
      <w:t>Appel à Projets actions prévention et promotion de la santé 2018</w:t>
    </w:r>
  </w:p>
  <w:p w:rsidR="004A7A67" w:rsidRDefault="004A7A6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A67" w:rsidRPr="00EA7E42" w:rsidRDefault="004A7A67" w:rsidP="008317C8">
    <w:pPr>
      <w:ind w:left="3828" w:right="992"/>
      <w:jc w:val="center"/>
      <w:rPr>
        <w:b/>
        <w:i/>
        <w:caps/>
      </w:rPr>
    </w:pPr>
    <w:r>
      <w:rPr>
        <w:b/>
        <w:i/>
        <w:caps/>
        <w:noProof/>
        <w:lang w:eastAsia="fr-FR"/>
      </w:rPr>
      <w:drawing>
        <wp:anchor distT="0" distB="0" distL="114300" distR="114300" simplePos="0" relativeHeight="251659264" behindDoc="0" locked="0" layoutInCell="1" allowOverlap="1">
          <wp:simplePos x="0" y="0"/>
          <wp:positionH relativeFrom="column">
            <wp:posOffset>-69215</wp:posOffset>
          </wp:positionH>
          <wp:positionV relativeFrom="paragraph">
            <wp:posOffset>47625</wp:posOffset>
          </wp:positionV>
          <wp:extent cx="1385570" cy="890905"/>
          <wp:effectExtent l="19050" t="0" r="5080" b="0"/>
          <wp:wrapNone/>
          <wp:docPr id="1" name="Image 1" descr="I:\POLESANTEPUBLIQUE\PEPS\2016\Logo ARS\AS_guadeloupe_CMJN_CS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OLESANTEPUBLIQUE\PEPS\2016\Logo ARS\AS_guadeloupe_CMJN_CS3.eps"/>
                  <pic:cNvPicPr>
                    <a:picLocks noChangeAspect="1" noChangeArrowheads="1"/>
                  </pic:cNvPicPr>
                </pic:nvPicPr>
                <pic:blipFill>
                  <a:blip r:embed="rId1" cstate="print"/>
                  <a:srcRect/>
                  <a:stretch>
                    <a:fillRect/>
                  </a:stretch>
                </pic:blipFill>
                <pic:spPr bwMode="auto">
                  <a:xfrm>
                    <a:off x="0" y="0"/>
                    <a:ext cx="1385570" cy="890905"/>
                  </a:xfrm>
                  <a:prstGeom prst="rect">
                    <a:avLst/>
                  </a:prstGeom>
                  <a:noFill/>
                  <a:ln w="9525">
                    <a:noFill/>
                    <a:miter lim="800000"/>
                    <a:headEnd/>
                    <a:tailEnd/>
                  </a:ln>
                </pic:spPr>
              </pic:pic>
            </a:graphicData>
          </a:graphic>
        </wp:anchor>
      </w:drawing>
    </w:r>
    <w:r w:rsidRPr="00EA7E42">
      <w:rPr>
        <w:b/>
        <w:i/>
        <w:caps/>
      </w:rPr>
      <w:t>Agence régionale de Santé Guadeloupe, Saint-Martin, Saint-barthélémy</w:t>
    </w:r>
  </w:p>
  <w:p w:rsidR="004A7A67" w:rsidRPr="00EA7E42" w:rsidRDefault="004A7A67" w:rsidP="008317C8">
    <w:pPr>
      <w:ind w:left="3828" w:right="992"/>
      <w:jc w:val="center"/>
      <w:rPr>
        <w:b/>
        <w:i/>
        <w:caps/>
      </w:rPr>
    </w:pPr>
    <w:r w:rsidRPr="00EA7E42">
      <w:rPr>
        <w:b/>
        <w:i/>
        <w:caps/>
      </w:rPr>
      <w:t>Appel à Projets actions prévention et promotion de la santé 2018</w:t>
    </w:r>
  </w:p>
  <w:p w:rsidR="004A7A67" w:rsidRDefault="004A7A67">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0E3575"/>
    <w:rsid w:val="000759A4"/>
    <w:rsid w:val="000C21E8"/>
    <w:rsid w:val="000E3575"/>
    <w:rsid w:val="000F3B12"/>
    <w:rsid w:val="00204FEA"/>
    <w:rsid w:val="003C12AD"/>
    <w:rsid w:val="003D6558"/>
    <w:rsid w:val="004A7A67"/>
    <w:rsid w:val="004E4D44"/>
    <w:rsid w:val="00527E9B"/>
    <w:rsid w:val="00640A26"/>
    <w:rsid w:val="0076074D"/>
    <w:rsid w:val="00792120"/>
    <w:rsid w:val="008317C8"/>
    <w:rsid w:val="00872471"/>
    <w:rsid w:val="0097052E"/>
    <w:rsid w:val="00A14192"/>
    <w:rsid w:val="00A456D5"/>
    <w:rsid w:val="00A60D4E"/>
    <w:rsid w:val="00B372DC"/>
    <w:rsid w:val="00BF7105"/>
    <w:rsid w:val="00C61123"/>
    <w:rsid w:val="00CF352E"/>
    <w:rsid w:val="00D16F69"/>
    <w:rsid w:val="00D25331"/>
    <w:rsid w:val="00EA7E42"/>
    <w:rsid w:val="00FA0E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D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E35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E35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3575"/>
    <w:rPr>
      <w:rFonts w:ascii="Tahoma" w:hAnsi="Tahoma" w:cs="Tahoma"/>
      <w:sz w:val="16"/>
      <w:szCs w:val="16"/>
    </w:rPr>
  </w:style>
  <w:style w:type="paragraph" w:styleId="En-tte">
    <w:name w:val="header"/>
    <w:basedOn w:val="Normal"/>
    <w:link w:val="En-tteCar"/>
    <w:uiPriority w:val="99"/>
    <w:semiHidden/>
    <w:unhideWhenUsed/>
    <w:rsid w:val="00EA7E4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A7E42"/>
  </w:style>
  <w:style w:type="paragraph" w:styleId="Pieddepage">
    <w:name w:val="footer"/>
    <w:basedOn w:val="Normal"/>
    <w:link w:val="PieddepageCar"/>
    <w:uiPriority w:val="99"/>
    <w:semiHidden/>
    <w:unhideWhenUsed/>
    <w:rsid w:val="00EA7E4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A7E42"/>
  </w:style>
  <w:style w:type="character" w:styleId="Lienhypertexte">
    <w:name w:val="Hyperlink"/>
    <w:basedOn w:val="Policepardfaut"/>
    <w:uiPriority w:val="99"/>
    <w:unhideWhenUsed/>
    <w:rsid w:val="00A456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S971-PROMOTION-SANTE@ars.sante.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CC51A-5D39-4458-9145-F1F688427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396</Words>
  <Characters>2178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lboulon</dc:creator>
  <cp:lastModifiedBy>lboulon</cp:lastModifiedBy>
  <cp:revision>7</cp:revision>
  <cp:lastPrinted>2018-04-13T19:07:00Z</cp:lastPrinted>
  <dcterms:created xsi:type="dcterms:W3CDTF">2018-04-10T03:54:00Z</dcterms:created>
  <dcterms:modified xsi:type="dcterms:W3CDTF">2018-04-16T22:16:00Z</dcterms:modified>
</cp:coreProperties>
</file>