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Y="2417"/>
        <w:tblW w:w="0" w:type="auto"/>
        <w:tblLook w:val="04A0"/>
      </w:tblPr>
      <w:tblGrid>
        <w:gridCol w:w="1951"/>
        <w:gridCol w:w="7261"/>
      </w:tblGrid>
      <w:tr w:rsidR="0016509B" w:rsidTr="00EA7E42">
        <w:tc>
          <w:tcPr>
            <w:tcW w:w="1951" w:type="dxa"/>
            <w:tcBorders>
              <w:bottom w:val="single" w:sz="4" w:space="0" w:color="000000" w:themeColor="text1"/>
            </w:tcBorders>
            <w:shd w:val="clear" w:color="auto" w:fill="C4BC96" w:themeFill="background2" w:themeFillShade="BF"/>
          </w:tcPr>
          <w:p w:rsidR="0016509B" w:rsidRDefault="0016509B" w:rsidP="00EA7E42"/>
          <w:p w:rsidR="0016509B" w:rsidRPr="00BF7105" w:rsidRDefault="0016509B" w:rsidP="00EA7E42">
            <w:pPr>
              <w:rPr>
                <w:b/>
                <w:i/>
              </w:rPr>
            </w:pPr>
            <w:r w:rsidRPr="00BF7105">
              <w:rPr>
                <w:b/>
                <w:i/>
              </w:rPr>
              <w:t>Fiche thématique</w:t>
            </w:r>
          </w:p>
          <w:p w:rsidR="0016509B" w:rsidRDefault="0016509B" w:rsidP="00EA7E42"/>
        </w:tc>
        <w:tc>
          <w:tcPr>
            <w:tcW w:w="7261" w:type="dxa"/>
            <w:tcBorders>
              <w:bottom w:val="single" w:sz="4" w:space="0" w:color="000000" w:themeColor="text1"/>
            </w:tcBorders>
          </w:tcPr>
          <w:p w:rsidR="0016509B" w:rsidRDefault="0016509B" w:rsidP="00EA7E42"/>
          <w:p w:rsidR="0016509B" w:rsidRPr="00EA7E42" w:rsidRDefault="0016509B" w:rsidP="00EA7E42">
            <w:pPr>
              <w:rPr>
                <w:b/>
                <w:i/>
                <w:caps/>
                <w:u w:val="single"/>
              </w:rPr>
            </w:pPr>
            <w:r w:rsidRPr="00ED4E16">
              <w:rPr>
                <w:b/>
                <w:i/>
                <w:caps/>
                <w:noProof/>
                <w:u w:val="single"/>
              </w:rPr>
              <w:t>Cancer du sein, cancer colorectal</w:t>
            </w:r>
          </w:p>
          <w:p w:rsidR="0016509B" w:rsidRDefault="0016509B" w:rsidP="00EA7E42"/>
        </w:tc>
      </w:tr>
      <w:tr w:rsidR="0016509B" w:rsidTr="00EA7E42">
        <w:tc>
          <w:tcPr>
            <w:tcW w:w="9212" w:type="dxa"/>
            <w:gridSpan w:val="2"/>
            <w:shd w:val="clear" w:color="auto" w:fill="C4BC96" w:themeFill="background2" w:themeFillShade="BF"/>
          </w:tcPr>
          <w:p w:rsidR="0016509B" w:rsidRDefault="0016509B" w:rsidP="00EA7E42"/>
          <w:p w:rsidR="0016509B" w:rsidRPr="00BF7105" w:rsidRDefault="006C1F16" w:rsidP="00EA7E42">
            <w:pPr>
              <w:jc w:val="center"/>
              <w:rPr>
                <w:b/>
                <w:i/>
              </w:rPr>
            </w:pPr>
            <w:r>
              <w:rPr>
                <w:b/>
                <w:i/>
              </w:rPr>
              <w:t>Contexte</w:t>
            </w:r>
          </w:p>
          <w:p w:rsidR="0016509B" w:rsidRDefault="0016509B" w:rsidP="00EA7E42"/>
        </w:tc>
      </w:tr>
      <w:tr w:rsidR="0016509B" w:rsidTr="00EA7E42">
        <w:tc>
          <w:tcPr>
            <w:tcW w:w="9212" w:type="dxa"/>
            <w:gridSpan w:val="2"/>
            <w:tcBorders>
              <w:bottom w:val="single" w:sz="4" w:space="0" w:color="000000" w:themeColor="text1"/>
            </w:tcBorders>
          </w:tcPr>
          <w:p w:rsidR="0016509B" w:rsidRDefault="0016509B" w:rsidP="00EA7E42"/>
          <w:p w:rsidR="0016509B" w:rsidRDefault="0016509B" w:rsidP="00FA0E70">
            <w:pPr>
              <w:jc w:val="both"/>
              <w:rPr>
                <w:noProof/>
              </w:rPr>
            </w:pPr>
            <w:r>
              <w:rPr>
                <w:noProof/>
              </w:rPr>
              <w:t xml:space="preserve">Sur la période 2008-2013, 654 décès annuels par cancer ont été recensés en moyenne. Le cancer est donc responsable de plus d’un décès sur cinq et constitue la deuxième cause de mortalité sur notre territoire. </w:t>
            </w:r>
          </w:p>
          <w:p w:rsidR="0016509B" w:rsidRDefault="0016509B" w:rsidP="00FA0E70">
            <w:pPr>
              <w:jc w:val="both"/>
              <w:rPr>
                <w:noProof/>
              </w:rPr>
            </w:pPr>
            <w:r>
              <w:rPr>
                <w:noProof/>
              </w:rPr>
              <w:t>Le cancer de la prostate est responsable du plus grand nombre de décès, suivi du cancer colo-rectal et du cancer de l’estomac pour lequel la Guadeloupe est la région la plus touchée. Il est donc primordial d’inciter notre population au dépistage.</w:t>
            </w:r>
          </w:p>
          <w:p w:rsidR="00254085" w:rsidRDefault="00254085" w:rsidP="00FA0E70">
            <w:pPr>
              <w:jc w:val="both"/>
              <w:rPr>
                <w:noProof/>
              </w:rPr>
            </w:pPr>
          </w:p>
          <w:p w:rsidR="00BC497A" w:rsidRDefault="0016509B" w:rsidP="00FA0E70">
            <w:pPr>
              <w:jc w:val="both"/>
              <w:rPr>
                <w:noProof/>
              </w:rPr>
            </w:pPr>
            <w:r>
              <w:rPr>
                <w:noProof/>
              </w:rPr>
              <w:t>Trois dépistages organisés (DO) sont désormais proposés à la population guadeloupéenne</w:t>
            </w:r>
            <w:r w:rsidR="00BC497A">
              <w:rPr>
                <w:noProof/>
              </w:rPr>
              <w:t> :</w:t>
            </w:r>
            <w:r>
              <w:rPr>
                <w:noProof/>
              </w:rPr>
              <w:t xml:space="preserve"> </w:t>
            </w:r>
          </w:p>
          <w:p w:rsidR="00BC497A" w:rsidRDefault="0016509B" w:rsidP="00BC497A">
            <w:pPr>
              <w:pStyle w:val="Paragraphedeliste"/>
              <w:numPr>
                <w:ilvl w:val="0"/>
                <w:numId w:val="2"/>
              </w:numPr>
              <w:jc w:val="both"/>
              <w:rPr>
                <w:noProof/>
              </w:rPr>
            </w:pPr>
            <w:r>
              <w:rPr>
                <w:noProof/>
              </w:rPr>
              <w:t xml:space="preserve">le DO du cancer du sein, </w:t>
            </w:r>
          </w:p>
          <w:p w:rsidR="00BC497A" w:rsidRDefault="0016509B" w:rsidP="00BC497A">
            <w:pPr>
              <w:pStyle w:val="Paragraphedeliste"/>
              <w:numPr>
                <w:ilvl w:val="0"/>
                <w:numId w:val="2"/>
              </w:numPr>
              <w:jc w:val="both"/>
              <w:rPr>
                <w:noProof/>
              </w:rPr>
            </w:pPr>
            <w:r>
              <w:rPr>
                <w:noProof/>
              </w:rPr>
              <w:t>le DO du cancer colorectal</w:t>
            </w:r>
            <w:r w:rsidR="00BC497A">
              <w:rPr>
                <w:noProof/>
              </w:rPr>
              <w:t>,</w:t>
            </w:r>
            <w:r>
              <w:rPr>
                <w:noProof/>
              </w:rPr>
              <w:t xml:space="preserve"> </w:t>
            </w:r>
          </w:p>
          <w:p w:rsidR="00BC497A" w:rsidRDefault="0016509B" w:rsidP="00BC497A">
            <w:pPr>
              <w:pStyle w:val="Paragraphedeliste"/>
              <w:numPr>
                <w:ilvl w:val="0"/>
                <w:numId w:val="2"/>
              </w:numPr>
              <w:jc w:val="both"/>
              <w:rPr>
                <w:noProof/>
              </w:rPr>
            </w:pPr>
            <w:r>
              <w:rPr>
                <w:noProof/>
              </w:rPr>
              <w:t xml:space="preserve">le DO du cancer du col de l’utérus. </w:t>
            </w:r>
          </w:p>
          <w:p w:rsidR="00BC497A" w:rsidRDefault="00BC497A" w:rsidP="00BC497A">
            <w:pPr>
              <w:jc w:val="both"/>
              <w:rPr>
                <w:noProof/>
              </w:rPr>
            </w:pPr>
          </w:p>
          <w:p w:rsidR="0016509B" w:rsidRDefault="0016509B" w:rsidP="00BC497A">
            <w:pPr>
              <w:jc w:val="both"/>
              <w:rPr>
                <w:noProof/>
              </w:rPr>
            </w:pPr>
            <w:r>
              <w:rPr>
                <w:noProof/>
              </w:rPr>
              <w:t>Avec un taux de participation moyen</w:t>
            </w:r>
            <w:r w:rsidR="00A4260F">
              <w:rPr>
                <w:rStyle w:val="Appelnotedebasdep"/>
                <w:noProof/>
              </w:rPr>
              <w:footnoteReference w:id="1"/>
            </w:r>
            <w:r>
              <w:rPr>
                <w:noProof/>
              </w:rPr>
              <w:t xml:space="preserve"> de </w:t>
            </w:r>
            <w:r w:rsidR="00A4260F">
              <w:rPr>
                <w:noProof/>
              </w:rPr>
              <w:t xml:space="preserve">50 </w:t>
            </w:r>
            <w:r>
              <w:rPr>
                <w:noProof/>
              </w:rPr>
              <w:t>%</w:t>
            </w:r>
            <w:r w:rsidR="00254085">
              <w:rPr>
                <w:noProof/>
              </w:rPr>
              <w:t xml:space="preserve"> sur les DO du cancer du sein et </w:t>
            </w:r>
            <w:r w:rsidR="00A4260F">
              <w:rPr>
                <w:noProof/>
              </w:rPr>
              <w:t xml:space="preserve">33,3 % </w:t>
            </w:r>
            <w:r w:rsidR="00254085">
              <w:rPr>
                <w:noProof/>
              </w:rPr>
              <w:t>du cancer colorectal</w:t>
            </w:r>
            <w:r>
              <w:rPr>
                <w:noProof/>
              </w:rPr>
              <w:t>, il est nécessaire d’encourager la population à se faire dépister ou à s’inscrire volontairement dans la démarche à laquelle elle est invitée par la structure de dépistage</w:t>
            </w:r>
            <w:r w:rsidR="00254085">
              <w:rPr>
                <w:noProof/>
              </w:rPr>
              <w:t>.</w:t>
            </w:r>
          </w:p>
          <w:p w:rsidR="0016509B" w:rsidRDefault="0016509B" w:rsidP="00EA7E42">
            <w:pPr>
              <w:jc w:val="both"/>
            </w:pPr>
          </w:p>
          <w:p w:rsidR="0016509B" w:rsidRDefault="0016509B" w:rsidP="00EA7E42"/>
        </w:tc>
      </w:tr>
      <w:tr w:rsidR="0016509B" w:rsidTr="00EA7E42">
        <w:tc>
          <w:tcPr>
            <w:tcW w:w="9212" w:type="dxa"/>
            <w:gridSpan w:val="2"/>
            <w:tcBorders>
              <w:bottom w:val="single" w:sz="4" w:space="0" w:color="000000" w:themeColor="text1"/>
            </w:tcBorders>
            <w:shd w:val="clear" w:color="auto" w:fill="C4BC96" w:themeFill="background2" w:themeFillShade="BF"/>
          </w:tcPr>
          <w:p w:rsidR="0016509B" w:rsidRDefault="0016509B" w:rsidP="00EA7E42"/>
          <w:p w:rsidR="0016509B" w:rsidRPr="00BF7105" w:rsidRDefault="0016509B" w:rsidP="00EA7E42">
            <w:pPr>
              <w:jc w:val="center"/>
              <w:rPr>
                <w:b/>
                <w:i/>
              </w:rPr>
            </w:pPr>
            <w:r>
              <w:rPr>
                <w:b/>
                <w:i/>
              </w:rPr>
              <w:t>O</w:t>
            </w:r>
            <w:r w:rsidRPr="00BF7105">
              <w:rPr>
                <w:b/>
                <w:i/>
              </w:rPr>
              <w:t>bjectifs</w:t>
            </w:r>
          </w:p>
          <w:p w:rsidR="0016509B" w:rsidRDefault="0016509B" w:rsidP="00EA7E42"/>
        </w:tc>
      </w:tr>
      <w:tr w:rsidR="0016509B" w:rsidTr="00EA7E42">
        <w:tc>
          <w:tcPr>
            <w:tcW w:w="9212" w:type="dxa"/>
            <w:gridSpan w:val="2"/>
            <w:tcBorders>
              <w:bottom w:val="single" w:sz="4" w:space="0" w:color="000000" w:themeColor="text1"/>
            </w:tcBorders>
          </w:tcPr>
          <w:p w:rsidR="0016509B" w:rsidRDefault="0016509B" w:rsidP="00EA7E42"/>
          <w:p w:rsidR="0016509B" w:rsidRDefault="0016509B" w:rsidP="00EA7E42">
            <w:pPr>
              <w:jc w:val="both"/>
            </w:pPr>
            <w:r>
              <w:rPr>
                <w:noProof/>
              </w:rPr>
              <w:t xml:space="preserve">Améliorer le recours au dépistage organisé des publics ciblés par le programme national  : les publics précaires et les plus éloignés du système de santé, en ciblant notamment les quartiers </w:t>
            </w:r>
            <w:r w:rsidR="00080361">
              <w:rPr>
                <w:noProof/>
              </w:rPr>
              <w:t>prioritaires de la politique de la ville</w:t>
            </w:r>
            <w:r w:rsidR="00080361">
              <w:rPr>
                <w:rStyle w:val="Appelnotedebasdep"/>
                <w:noProof/>
              </w:rPr>
              <w:footnoteReference w:id="2"/>
            </w:r>
            <w:r>
              <w:rPr>
                <w:noProof/>
              </w:rPr>
              <w:t>.</w:t>
            </w:r>
          </w:p>
          <w:p w:rsidR="0016509B" w:rsidRDefault="0016509B" w:rsidP="00EA7E42"/>
        </w:tc>
      </w:tr>
      <w:tr w:rsidR="0016509B" w:rsidTr="00EA7E42">
        <w:tc>
          <w:tcPr>
            <w:tcW w:w="9212" w:type="dxa"/>
            <w:gridSpan w:val="2"/>
            <w:shd w:val="clear" w:color="auto" w:fill="C4BC96" w:themeFill="background2" w:themeFillShade="BF"/>
          </w:tcPr>
          <w:p w:rsidR="0016509B" w:rsidRPr="00BF7105" w:rsidRDefault="0016509B" w:rsidP="00EA7E42">
            <w:pPr>
              <w:rPr>
                <w:b/>
                <w:i/>
              </w:rPr>
            </w:pPr>
          </w:p>
          <w:p w:rsidR="0016509B" w:rsidRPr="00BF7105" w:rsidRDefault="0016509B" w:rsidP="00EA7E42">
            <w:pPr>
              <w:jc w:val="center"/>
              <w:rPr>
                <w:b/>
                <w:i/>
              </w:rPr>
            </w:pPr>
            <w:r w:rsidRPr="00BF7105">
              <w:rPr>
                <w:b/>
                <w:i/>
              </w:rPr>
              <w:t>Type d’actions</w:t>
            </w:r>
          </w:p>
          <w:p w:rsidR="0016509B" w:rsidRDefault="0016509B" w:rsidP="00EA7E42"/>
        </w:tc>
      </w:tr>
      <w:tr w:rsidR="0016509B" w:rsidTr="00EA7E42">
        <w:tc>
          <w:tcPr>
            <w:tcW w:w="9212" w:type="dxa"/>
            <w:gridSpan w:val="2"/>
            <w:tcBorders>
              <w:bottom w:val="single" w:sz="4" w:space="0" w:color="000000" w:themeColor="text1"/>
            </w:tcBorders>
          </w:tcPr>
          <w:p w:rsidR="0016509B" w:rsidRDefault="0016509B" w:rsidP="00EA7E42"/>
          <w:p w:rsidR="0016509B" w:rsidRDefault="0016509B" w:rsidP="00F4195C">
            <w:pPr>
              <w:pStyle w:val="Paragraphedeliste"/>
              <w:numPr>
                <w:ilvl w:val="0"/>
                <w:numId w:val="1"/>
              </w:numPr>
              <w:jc w:val="both"/>
              <w:rPr>
                <w:noProof/>
              </w:rPr>
            </w:pPr>
            <w:r>
              <w:rPr>
                <w:noProof/>
              </w:rPr>
              <w:t>Actions d'information, de sensibilisation particulièrement auprès des p</w:t>
            </w:r>
            <w:r w:rsidR="00775F7D">
              <w:rPr>
                <w:noProof/>
              </w:rPr>
              <w:t>ublics précaires et/ou résidant</w:t>
            </w:r>
            <w:r>
              <w:rPr>
                <w:noProof/>
              </w:rPr>
              <w:t xml:space="preserve"> dans les territoires isolés, pour inciter au dépistage.</w:t>
            </w:r>
          </w:p>
          <w:p w:rsidR="00775F7D" w:rsidRDefault="00F4195C" w:rsidP="00775F7D">
            <w:pPr>
              <w:pStyle w:val="Paragraphedeliste"/>
              <w:numPr>
                <w:ilvl w:val="0"/>
                <w:numId w:val="1"/>
              </w:numPr>
              <w:jc w:val="both"/>
              <w:rPr>
                <w:noProof/>
              </w:rPr>
            </w:pPr>
            <w:r>
              <w:rPr>
                <w:noProof/>
              </w:rPr>
              <w:t xml:space="preserve"> </w:t>
            </w:r>
            <w:r w:rsidR="0016509B">
              <w:rPr>
                <w:noProof/>
              </w:rPr>
              <w:t>Action de communication avec création d'outils pédagogiques innovan</w:t>
            </w:r>
            <w:r w:rsidR="00775F7D">
              <w:rPr>
                <w:noProof/>
              </w:rPr>
              <w:t>ts et adaptés au contexte local</w:t>
            </w:r>
          </w:p>
          <w:p w:rsidR="00775F7D" w:rsidRDefault="00775F7D" w:rsidP="00775F7D">
            <w:pPr>
              <w:pStyle w:val="Paragraphedeliste"/>
              <w:numPr>
                <w:ilvl w:val="0"/>
                <w:numId w:val="1"/>
              </w:numPr>
              <w:jc w:val="both"/>
              <w:rPr>
                <w:noProof/>
              </w:rPr>
            </w:pPr>
            <w:r>
              <w:rPr>
                <w:noProof/>
              </w:rPr>
              <w:t>Inciter les médecins libéraux et de manière générale les professionnels de santé à la démarche de l’information à leurs clients</w:t>
            </w:r>
          </w:p>
          <w:p w:rsidR="00F4195C" w:rsidRDefault="00F4195C" w:rsidP="00FA0E70">
            <w:pPr>
              <w:jc w:val="both"/>
              <w:rPr>
                <w:noProof/>
              </w:rPr>
            </w:pPr>
          </w:p>
          <w:p w:rsidR="00775F7D" w:rsidRDefault="0016509B" w:rsidP="00775F7D">
            <w:pPr>
              <w:jc w:val="both"/>
              <w:rPr>
                <w:noProof/>
              </w:rPr>
            </w:pPr>
            <w:r>
              <w:rPr>
                <w:noProof/>
              </w:rPr>
              <w:t xml:space="preserve">L’ARS sera attentive aux stratégies de communication adaptées et aux actions de prévention par les </w:t>
            </w:r>
            <w:r>
              <w:rPr>
                <w:noProof/>
              </w:rPr>
              <w:lastRenderedPageBreak/>
              <w:t xml:space="preserve">pairs, favorisant un partenariat avec les associations ou professionnels de santé œuvrant dans ce </w:t>
            </w:r>
            <w:r w:rsidRPr="00775F7D">
              <w:rPr>
                <w:noProof/>
              </w:rPr>
              <w:t>domaine ou avec l’AGWADEC.</w:t>
            </w:r>
          </w:p>
        </w:tc>
      </w:tr>
      <w:tr w:rsidR="0016509B" w:rsidTr="00EA7E42">
        <w:tc>
          <w:tcPr>
            <w:tcW w:w="9212" w:type="dxa"/>
            <w:gridSpan w:val="2"/>
            <w:shd w:val="clear" w:color="auto" w:fill="C4BC96" w:themeFill="background2" w:themeFillShade="BF"/>
          </w:tcPr>
          <w:p w:rsidR="0016509B" w:rsidRPr="00BF7105" w:rsidRDefault="0016509B" w:rsidP="00EA7E42">
            <w:pPr>
              <w:jc w:val="center"/>
              <w:rPr>
                <w:b/>
                <w:i/>
              </w:rPr>
            </w:pPr>
          </w:p>
          <w:p w:rsidR="00775F7D" w:rsidRDefault="00775F7D" w:rsidP="00EA7E42">
            <w:pPr>
              <w:jc w:val="center"/>
              <w:rPr>
                <w:b/>
                <w:i/>
              </w:rPr>
            </w:pPr>
          </w:p>
          <w:p w:rsidR="0016509B" w:rsidRPr="00BF7105" w:rsidRDefault="0016509B" w:rsidP="00EA7E42">
            <w:pPr>
              <w:jc w:val="center"/>
              <w:rPr>
                <w:b/>
                <w:i/>
              </w:rPr>
            </w:pPr>
            <w:r w:rsidRPr="00BF7105">
              <w:rPr>
                <w:b/>
                <w:i/>
              </w:rPr>
              <w:t>Public Cible</w:t>
            </w:r>
          </w:p>
          <w:p w:rsidR="0016509B" w:rsidRDefault="0016509B" w:rsidP="00EA7E42"/>
        </w:tc>
      </w:tr>
      <w:tr w:rsidR="0016509B" w:rsidTr="00EA7E42">
        <w:tc>
          <w:tcPr>
            <w:tcW w:w="9212" w:type="dxa"/>
            <w:gridSpan w:val="2"/>
            <w:tcBorders>
              <w:bottom w:val="single" w:sz="4" w:space="0" w:color="000000" w:themeColor="text1"/>
            </w:tcBorders>
          </w:tcPr>
          <w:p w:rsidR="0016509B" w:rsidRDefault="0016509B" w:rsidP="00EA7E42"/>
          <w:p w:rsidR="0016509B" w:rsidRDefault="0016509B" w:rsidP="00FA0E70">
            <w:pPr>
              <w:jc w:val="both"/>
              <w:rPr>
                <w:noProof/>
              </w:rPr>
            </w:pPr>
            <w:r>
              <w:rPr>
                <w:noProof/>
              </w:rPr>
              <w:t xml:space="preserve">Population générale </w:t>
            </w:r>
          </w:p>
          <w:p w:rsidR="0016509B" w:rsidRDefault="0016509B" w:rsidP="00FA0E70">
            <w:pPr>
              <w:jc w:val="both"/>
              <w:rPr>
                <w:noProof/>
              </w:rPr>
            </w:pPr>
            <w:r>
              <w:rPr>
                <w:noProof/>
              </w:rPr>
              <w:t>Adultes âgés entre 50 et 7</w:t>
            </w:r>
            <w:r w:rsidR="00C82D3D">
              <w:rPr>
                <w:noProof/>
              </w:rPr>
              <w:t>4</w:t>
            </w:r>
            <w:r>
              <w:rPr>
                <w:noProof/>
              </w:rPr>
              <w:t xml:space="preserve"> ans </w:t>
            </w:r>
          </w:p>
          <w:p w:rsidR="0016509B" w:rsidRDefault="0016509B" w:rsidP="00EA7E42"/>
        </w:tc>
      </w:tr>
      <w:tr w:rsidR="0016509B" w:rsidTr="00EA7E42">
        <w:tc>
          <w:tcPr>
            <w:tcW w:w="9212" w:type="dxa"/>
            <w:gridSpan w:val="2"/>
            <w:shd w:val="clear" w:color="auto" w:fill="C4BC96" w:themeFill="background2" w:themeFillShade="BF"/>
          </w:tcPr>
          <w:p w:rsidR="0016509B" w:rsidRDefault="0016509B" w:rsidP="00EA7E42"/>
          <w:p w:rsidR="0016509B" w:rsidRPr="00BF7105" w:rsidRDefault="0016509B" w:rsidP="00EA7E42">
            <w:pPr>
              <w:jc w:val="center"/>
              <w:rPr>
                <w:b/>
                <w:i/>
              </w:rPr>
            </w:pPr>
            <w:r w:rsidRPr="00BF7105">
              <w:rPr>
                <w:b/>
                <w:i/>
              </w:rPr>
              <w:t>Territoire</w:t>
            </w:r>
          </w:p>
          <w:p w:rsidR="0016509B" w:rsidRDefault="0016509B" w:rsidP="00EA7E42"/>
        </w:tc>
      </w:tr>
      <w:tr w:rsidR="0016509B" w:rsidTr="00EA7E42">
        <w:tc>
          <w:tcPr>
            <w:tcW w:w="9212" w:type="dxa"/>
            <w:gridSpan w:val="2"/>
          </w:tcPr>
          <w:p w:rsidR="0016509B" w:rsidRDefault="0016509B" w:rsidP="00EA7E42"/>
          <w:p w:rsidR="00775F7D" w:rsidRDefault="00775F7D" w:rsidP="00EA7E42">
            <w:pPr>
              <w:jc w:val="both"/>
              <w:rPr>
                <w:noProof/>
              </w:rPr>
            </w:pPr>
            <w:r>
              <w:rPr>
                <w:noProof/>
              </w:rPr>
              <w:t xml:space="preserve">La zone du Nord Grande Terre, les dépendances, la côte sous le vent, </w:t>
            </w:r>
            <w:r w:rsidR="00430F3C">
              <w:rPr>
                <w:noProof/>
              </w:rPr>
              <w:t xml:space="preserve">le territoire de </w:t>
            </w:r>
            <w:r>
              <w:rPr>
                <w:noProof/>
              </w:rPr>
              <w:t>Cap Excellence et les COM.</w:t>
            </w:r>
          </w:p>
          <w:p w:rsidR="00F4195C" w:rsidRDefault="00775F7D" w:rsidP="00EA7E42">
            <w:pPr>
              <w:jc w:val="both"/>
              <w:rPr>
                <w:noProof/>
              </w:rPr>
            </w:pPr>
            <w:r>
              <w:rPr>
                <w:noProof/>
              </w:rPr>
              <w:t>l</w:t>
            </w:r>
            <w:r w:rsidR="00F4195C">
              <w:rPr>
                <w:noProof/>
              </w:rPr>
              <w:t>es 18</w:t>
            </w:r>
            <w:r w:rsidR="0068134B">
              <w:rPr>
                <w:noProof/>
              </w:rPr>
              <w:t xml:space="preserve"> quartiers prioritaires de la ville de Guadeloupe et Saint-Martin.</w:t>
            </w:r>
          </w:p>
          <w:p w:rsidR="0016509B" w:rsidRDefault="0016509B" w:rsidP="00775F7D">
            <w:pPr>
              <w:jc w:val="both"/>
            </w:pPr>
          </w:p>
        </w:tc>
      </w:tr>
    </w:tbl>
    <w:p w:rsidR="001D1C70" w:rsidRDefault="001D1C70" w:rsidP="00080361">
      <w:pPr>
        <w:jc w:val="center"/>
        <w:rPr>
          <w:rFonts w:eastAsia="Times New Roman" w:cstheme="minorHAnsi"/>
          <w:b/>
          <w:sz w:val="28"/>
          <w:szCs w:val="28"/>
          <w:lang w:eastAsia="fr-FR"/>
        </w:rPr>
      </w:pPr>
    </w:p>
    <w:p w:rsidR="00080361" w:rsidRDefault="00080361" w:rsidP="00080361">
      <w:pPr>
        <w:jc w:val="center"/>
        <w:rPr>
          <w:rFonts w:eastAsia="Times New Roman" w:cstheme="minorHAnsi"/>
          <w:lang w:eastAsia="fr-FR"/>
        </w:rPr>
      </w:pPr>
      <w:r w:rsidRPr="00D91DF3">
        <w:rPr>
          <w:rFonts w:eastAsia="Times New Roman" w:cstheme="minorHAnsi"/>
          <w:b/>
          <w:sz w:val="28"/>
          <w:szCs w:val="28"/>
          <w:lang w:eastAsia="fr-FR"/>
        </w:rPr>
        <w:t>Contact :</w:t>
      </w:r>
      <w:r w:rsidRPr="00D91DF3">
        <w:rPr>
          <w:rFonts w:eastAsia="Times New Roman" w:cstheme="minorHAnsi"/>
          <w:lang w:eastAsia="fr-FR"/>
        </w:rPr>
        <w:t xml:space="preserve"> </w:t>
      </w:r>
    </w:p>
    <w:p w:rsidR="00080361" w:rsidRDefault="00080361" w:rsidP="00080361">
      <w:pPr>
        <w:jc w:val="center"/>
        <w:rPr>
          <w:rFonts w:eastAsia="Times New Roman" w:cstheme="minorHAnsi"/>
          <w:lang w:eastAsia="fr-FR"/>
        </w:rPr>
      </w:pPr>
      <w:r w:rsidRPr="00D91DF3">
        <w:rPr>
          <w:rFonts w:eastAsia="Times New Roman" w:cstheme="minorHAnsi"/>
          <w:lang w:eastAsia="fr-FR"/>
        </w:rPr>
        <w:t>M. Lionel BOULON</w:t>
      </w:r>
    </w:p>
    <w:p w:rsidR="00080361" w:rsidRDefault="00080361" w:rsidP="00080361">
      <w:pPr>
        <w:jc w:val="center"/>
        <w:rPr>
          <w:rFonts w:eastAsia="Times New Roman" w:cstheme="minorHAnsi"/>
          <w:lang w:eastAsia="fr-FR"/>
        </w:rPr>
      </w:pPr>
      <w:r w:rsidRPr="00D91DF3">
        <w:rPr>
          <w:rFonts w:eastAsia="Times New Roman" w:cstheme="minorHAnsi"/>
          <w:lang w:eastAsia="fr-FR"/>
        </w:rPr>
        <w:t>Agence Régionale de Santé de Guadeloupe, Saint-Martin, Saint–Barthélemy</w:t>
      </w:r>
    </w:p>
    <w:p w:rsidR="00080361" w:rsidRDefault="00080361" w:rsidP="00080361">
      <w:pPr>
        <w:jc w:val="center"/>
        <w:rPr>
          <w:rFonts w:eastAsia="Times New Roman" w:cstheme="minorHAnsi"/>
          <w:lang w:eastAsia="fr-FR"/>
        </w:rPr>
      </w:pPr>
      <w:r w:rsidRPr="00D91DF3">
        <w:rPr>
          <w:rFonts w:eastAsia="Times New Roman" w:cstheme="minorHAnsi"/>
          <w:lang w:eastAsia="fr-FR"/>
        </w:rPr>
        <w:t xml:space="preserve">Service </w:t>
      </w:r>
      <w:r w:rsidRPr="00D91DF3">
        <w:rPr>
          <w:rFonts w:cstheme="minorHAnsi"/>
        </w:rPr>
        <w:t>Prévention Education et Promotion de la Santé ARS</w:t>
      </w:r>
    </w:p>
    <w:p w:rsidR="00080361" w:rsidRDefault="00080361" w:rsidP="00080361">
      <w:pPr>
        <w:jc w:val="center"/>
        <w:rPr>
          <w:rFonts w:eastAsia="Times New Roman" w:cstheme="minorHAnsi"/>
          <w:lang w:eastAsia="fr-FR"/>
        </w:rPr>
      </w:pPr>
      <w:r w:rsidRPr="00D91DF3">
        <w:rPr>
          <w:rFonts w:eastAsia="Times New Roman" w:cstheme="minorHAnsi"/>
          <w:lang w:eastAsia="fr-FR"/>
        </w:rPr>
        <w:t>Route des Archives</w:t>
      </w:r>
    </w:p>
    <w:p w:rsidR="00080361" w:rsidRDefault="00080361" w:rsidP="00080361">
      <w:pPr>
        <w:jc w:val="center"/>
        <w:rPr>
          <w:rFonts w:eastAsia="Times New Roman" w:cstheme="minorHAnsi"/>
          <w:lang w:eastAsia="fr-FR"/>
        </w:rPr>
      </w:pPr>
      <w:r w:rsidRPr="00D91DF3">
        <w:rPr>
          <w:rFonts w:eastAsia="Times New Roman" w:cstheme="minorHAnsi"/>
          <w:lang w:eastAsia="fr-FR"/>
        </w:rPr>
        <w:t>97113 Gourbeyre</w:t>
      </w:r>
    </w:p>
    <w:p w:rsidR="00080361" w:rsidRDefault="00080361" w:rsidP="00080361">
      <w:pPr>
        <w:jc w:val="center"/>
        <w:rPr>
          <w:rFonts w:eastAsia="Times New Roman" w:cstheme="minorHAnsi"/>
          <w:lang w:eastAsia="fr-FR"/>
        </w:rPr>
      </w:pPr>
      <w:r w:rsidRPr="00D91DF3">
        <w:rPr>
          <w:rFonts w:eastAsia="Times New Roman" w:cstheme="minorHAnsi"/>
          <w:lang w:eastAsia="fr-FR"/>
        </w:rPr>
        <w:t xml:space="preserve">Tel : 0590 99 </w:t>
      </w:r>
      <w:proofErr w:type="spellStart"/>
      <w:r w:rsidRPr="00D91DF3">
        <w:rPr>
          <w:rFonts w:eastAsia="Times New Roman" w:cstheme="minorHAnsi"/>
          <w:lang w:eastAsia="fr-FR"/>
        </w:rPr>
        <w:t>99</w:t>
      </w:r>
      <w:proofErr w:type="spellEnd"/>
      <w:r w:rsidRPr="00D91DF3">
        <w:rPr>
          <w:rFonts w:eastAsia="Times New Roman" w:cstheme="minorHAnsi"/>
          <w:lang w:eastAsia="fr-FR"/>
        </w:rPr>
        <w:t xml:space="preserve"> 65</w:t>
      </w:r>
    </w:p>
    <w:p w:rsidR="00080361" w:rsidRDefault="00080361" w:rsidP="00080361">
      <w:pPr>
        <w:jc w:val="center"/>
        <w:sectPr w:rsidR="00080361" w:rsidSect="00080361">
          <w:headerReference w:type="first" r:id="rId8"/>
          <w:pgSz w:w="11906" w:h="16838"/>
          <w:pgMar w:top="1417" w:right="1417" w:bottom="1417" w:left="1417" w:header="708" w:footer="708" w:gutter="0"/>
          <w:pgNumType w:start="1"/>
          <w:cols w:space="708"/>
          <w:titlePg/>
          <w:docGrid w:linePitch="360"/>
        </w:sectPr>
      </w:pPr>
      <w:r>
        <w:t xml:space="preserve">Les dossiers doivent être envoyés à l’adresse suivante : </w:t>
      </w:r>
      <w:hyperlink r:id="rId9" w:history="1">
        <w:r w:rsidRPr="00D91DF3">
          <w:rPr>
            <w:rFonts w:cstheme="minorHAnsi"/>
          </w:rPr>
          <w:t>ARS971-PROMOTION-SANTE@ars.sante.fr</w:t>
        </w:r>
      </w:hyperlink>
    </w:p>
    <w:p w:rsidR="00080361" w:rsidRDefault="00080361" w:rsidP="00080361">
      <w:pPr>
        <w:jc w:val="center"/>
      </w:pPr>
      <w:r>
        <w:lastRenderedPageBreak/>
        <w:t>Se référer au guide du promoteur</w:t>
      </w:r>
    </w:p>
    <w:p w:rsidR="0016509B" w:rsidRDefault="0016509B"/>
    <w:sectPr w:rsidR="0016509B" w:rsidSect="0016509B">
      <w:headerReference w:type="first" r:id="rId10"/>
      <w:type w:val="continuous"/>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361" w:rsidRDefault="00080361" w:rsidP="00EA7E42">
      <w:pPr>
        <w:spacing w:after="0" w:line="240" w:lineRule="auto"/>
      </w:pPr>
      <w:r>
        <w:separator/>
      </w:r>
    </w:p>
  </w:endnote>
  <w:endnote w:type="continuationSeparator" w:id="0">
    <w:p w:rsidR="00080361" w:rsidRDefault="00080361" w:rsidP="00EA7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361" w:rsidRDefault="00080361" w:rsidP="00EA7E42">
      <w:pPr>
        <w:spacing w:after="0" w:line="240" w:lineRule="auto"/>
      </w:pPr>
      <w:r>
        <w:separator/>
      </w:r>
    </w:p>
  </w:footnote>
  <w:footnote w:type="continuationSeparator" w:id="0">
    <w:p w:rsidR="00080361" w:rsidRDefault="00080361" w:rsidP="00EA7E42">
      <w:pPr>
        <w:spacing w:after="0" w:line="240" w:lineRule="auto"/>
      </w:pPr>
      <w:r>
        <w:continuationSeparator/>
      </w:r>
    </w:p>
  </w:footnote>
  <w:footnote w:id="1">
    <w:p w:rsidR="00A4260F" w:rsidRDefault="00A4260F">
      <w:pPr>
        <w:pStyle w:val="Notedebasdepage"/>
      </w:pPr>
      <w:r>
        <w:rPr>
          <w:rStyle w:val="Appelnotedebasdep"/>
        </w:rPr>
        <w:footnoteRef/>
      </w:r>
      <w:r>
        <w:t xml:space="preserve"> Sur les exercices 2014, 2015 et 2016 (cf. rapport d’activité AGWADEC 2017) </w:t>
      </w:r>
    </w:p>
  </w:footnote>
  <w:footnote w:id="2">
    <w:p w:rsidR="00080361" w:rsidRDefault="00080361">
      <w:pPr>
        <w:pStyle w:val="Notedebasdepage"/>
      </w:pPr>
      <w:r>
        <w:rPr>
          <w:rStyle w:val="Appelnotedebasdep"/>
        </w:rPr>
        <w:footnoteRef/>
      </w:r>
      <w:r>
        <w:t xml:space="preserve"> La carte des quartiers prioritaires est téléchargeable sur </w:t>
      </w:r>
      <w:r w:rsidR="00EE58E5">
        <w:t>le site de l’ARS – Onglet Appel à projets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61" w:rsidRPr="00EA7E42" w:rsidRDefault="00080361" w:rsidP="008317C8">
    <w:pPr>
      <w:ind w:left="3828" w:right="992"/>
      <w:jc w:val="center"/>
      <w:rPr>
        <w:b/>
        <w:i/>
        <w:caps/>
      </w:rPr>
    </w:pPr>
    <w:r>
      <w:rPr>
        <w:b/>
        <w:i/>
        <w:caps/>
        <w:noProof/>
        <w:lang w:eastAsia="fr-FR"/>
      </w:rPr>
      <w:drawing>
        <wp:anchor distT="0" distB="0" distL="114300" distR="114300" simplePos="0" relativeHeight="251661312" behindDoc="0" locked="0" layoutInCell="1" allowOverlap="1">
          <wp:simplePos x="0" y="0"/>
          <wp:positionH relativeFrom="column">
            <wp:posOffset>-69215</wp:posOffset>
          </wp:positionH>
          <wp:positionV relativeFrom="paragraph">
            <wp:posOffset>47625</wp:posOffset>
          </wp:positionV>
          <wp:extent cx="1385570" cy="890905"/>
          <wp:effectExtent l="19050" t="0" r="5080" b="0"/>
          <wp:wrapNone/>
          <wp:docPr id="4" name="Image 1" descr="I:\POLESANTEPUBLIQUE\PEPS\2016\Logo ARS\AS_guadeloupe_CMJN_CS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OLESANTEPUBLIQUE\PEPS\2016\Logo ARS\AS_guadeloupe_CMJN_CS3.eps"/>
                  <pic:cNvPicPr>
                    <a:picLocks noChangeAspect="1" noChangeArrowheads="1"/>
                  </pic:cNvPicPr>
                </pic:nvPicPr>
                <pic:blipFill>
                  <a:blip r:embed="rId1" cstate="print"/>
                  <a:srcRect/>
                  <a:stretch>
                    <a:fillRect/>
                  </a:stretch>
                </pic:blipFill>
                <pic:spPr bwMode="auto">
                  <a:xfrm>
                    <a:off x="0" y="0"/>
                    <a:ext cx="1385570" cy="890905"/>
                  </a:xfrm>
                  <a:prstGeom prst="rect">
                    <a:avLst/>
                  </a:prstGeom>
                  <a:noFill/>
                  <a:ln w="9525">
                    <a:noFill/>
                    <a:miter lim="800000"/>
                    <a:headEnd/>
                    <a:tailEnd/>
                  </a:ln>
                </pic:spPr>
              </pic:pic>
            </a:graphicData>
          </a:graphic>
        </wp:anchor>
      </w:drawing>
    </w:r>
    <w:r w:rsidRPr="00EA7E42">
      <w:rPr>
        <w:b/>
        <w:i/>
        <w:caps/>
      </w:rPr>
      <w:t>Agence régionale de Santé Guadeloupe, Saint-Martin, Saint-barthélémy</w:t>
    </w:r>
  </w:p>
  <w:p w:rsidR="00080361" w:rsidRPr="00EA7E42" w:rsidRDefault="00080361" w:rsidP="008317C8">
    <w:pPr>
      <w:ind w:left="3828" w:right="992"/>
      <w:jc w:val="center"/>
      <w:rPr>
        <w:b/>
        <w:i/>
        <w:caps/>
      </w:rPr>
    </w:pPr>
    <w:r w:rsidRPr="00EA7E42">
      <w:rPr>
        <w:b/>
        <w:i/>
        <w:caps/>
      </w:rPr>
      <w:t>Appel à Projets actions prévention et promotion de la santé 2018</w:t>
    </w:r>
  </w:p>
  <w:p w:rsidR="00080361" w:rsidRDefault="0008036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61" w:rsidRPr="00EA7E42" w:rsidRDefault="00080361" w:rsidP="008317C8">
    <w:pPr>
      <w:ind w:left="3828" w:right="992"/>
      <w:jc w:val="center"/>
      <w:rPr>
        <w:b/>
        <w:i/>
        <w:caps/>
      </w:rPr>
    </w:pPr>
    <w:r>
      <w:rPr>
        <w:b/>
        <w:i/>
        <w:caps/>
        <w:noProof/>
        <w:lang w:eastAsia="fr-FR"/>
      </w:rPr>
      <w:drawing>
        <wp:anchor distT="0" distB="0" distL="114300" distR="114300" simplePos="0" relativeHeight="251659264" behindDoc="0" locked="0" layoutInCell="1" allowOverlap="1">
          <wp:simplePos x="0" y="0"/>
          <wp:positionH relativeFrom="column">
            <wp:posOffset>-69215</wp:posOffset>
          </wp:positionH>
          <wp:positionV relativeFrom="paragraph">
            <wp:posOffset>47625</wp:posOffset>
          </wp:positionV>
          <wp:extent cx="1385570" cy="890905"/>
          <wp:effectExtent l="19050" t="0" r="5080" b="0"/>
          <wp:wrapNone/>
          <wp:docPr id="1" name="Image 1" descr="I:\POLESANTEPUBLIQUE\PEPS\2016\Logo ARS\AS_guadeloupe_CMJN_CS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OLESANTEPUBLIQUE\PEPS\2016\Logo ARS\AS_guadeloupe_CMJN_CS3.eps"/>
                  <pic:cNvPicPr>
                    <a:picLocks noChangeAspect="1" noChangeArrowheads="1"/>
                  </pic:cNvPicPr>
                </pic:nvPicPr>
                <pic:blipFill>
                  <a:blip r:embed="rId1" cstate="print"/>
                  <a:srcRect/>
                  <a:stretch>
                    <a:fillRect/>
                  </a:stretch>
                </pic:blipFill>
                <pic:spPr bwMode="auto">
                  <a:xfrm>
                    <a:off x="0" y="0"/>
                    <a:ext cx="1385570" cy="890905"/>
                  </a:xfrm>
                  <a:prstGeom prst="rect">
                    <a:avLst/>
                  </a:prstGeom>
                  <a:noFill/>
                  <a:ln w="9525">
                    <a:noFill/>
                    <a:miter lim="800000"/>
                    <a:headEnd/>
                    <a:tailEnd/>
                  </a:ln>
                </pic:spPr>
              </pic:pic>
            </a:graphicData>
          </a:graphic>
        </wp:anchor>
      </w:drawing>
    </w:r>
    <w:r w:rsidRPr="00EA7E42">
      <w:rPr>
        <w:b/>
        <w:i/>
        <w:caps/>
      </w:rPr>
      <w:t>Agence régionale de Santé Guadeloupe, Saint-Martin, Saint-barthélémy</w:t>
    </w:r>
  </w:p>
  <w:p w:rsidR="00080361" w:rsidRPr="00EA7E42" w:rsidRDefault="00080361" w:rsidP="008317C8">
    <w:pPr>
      <w:ind w:left="3828" w:right="992"/>
      <w:jc w:val="center"/>
      <w:rPr>
        <w:b/>
        <w:i/>
        <w:caps/>
      </w:rPr>
    </w:pPr>
    <w:r w:rsidRPr="00EA7E42">
      <w:rPr>
        <w:b/>
        <w:i/>
        <w:caps/>
      </w:rPr>
      <w:t>Appel à Projets actions prévention et promotion de la santé 2018</w:t>
    </w:r>
  </w:p>
  <w:p w:rsidR="00080361" w:rsidRDefault="0008036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E78C7"/>
    <w:multiLevelType w:val="hybridMultilevel"/>
    <w:tmpl w:val="E2F67EB8"/>
    <w:lvl w:ilvl="0" w:tplc="E01041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567167"/>
    <w:multiLevelType w:val="hybridMultilevel"/>
    <w:tmpl w:val="9500B7A6"/>
    <w:lvl w:ilvl="0" w:tplc="C90EC6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0E3575"/>
    <w:rsid w:val="00080361"/>
    <w:rsid w:val="000E3575"/>
    <w:rsid w:val="0016509B"/>
    <w:rsid w:val="001A7975"/>
    <w:rsid w:val="001D1C70"/>
    <w:rsid w:val="00254085"/>
    <w:rsid w:val="003B203D"/>
    <w:rsid w:val="003C12AD"/>
    <w:rsid w:val="003D6558"/>
    <w:rsid w:val="00430F3C"/>
    <w:rsid w:val="004B28A5"/>
    <w:rsid w:val="004E4D44"/>
    <w:rsid w:val="00565999"/>
    <w:rsid w:val="00572055"/>
    <w:rsid w:val="00587C48"/>
    <w:rsid w:val="0068134B"/>
    <w:rsid w:val="006C1F16"/>
    <w:rsid w:val="0076074D"/>
    <w:rsid w:val="00775F7D"/>
    <w:rsid w:val="00792120"/>
    <w:rsid w:val="00794170"/>
    <w:rsid w:val="007C5D16"/>
    <w:rsid w:val="008317C8"/>
    <w:rsid w:val="00872471"/>
    <w:rsid w:val="00A4260F"/>
    <w:rsid w:val="00A456D5"/>
    <w:rsid w:val="00B05536"/>
    <w:rsid w:val="00B6042C"/>
    <w:rsid w:val="00BC497A"/>
    <w:rsid w:val="00BF7105"/>
    <w:rsid w:val="00C82D3D"/>
    <w:rsid w:val="00CF352E"/>
    <w:rsid w:val="00D25331"/>
    <w:rsid w:val="00EA7E42"/>
    <w:rsid w:val="00EE58E5"/>
    <w:rsid w:val="00F4195C"/>
    <w:rsid w:val="00FA0E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E35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E35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575"/>
    <w:rPr>
      <w:rFonts w:ascii="Tahoma" w:hAnsi="Tahoma" w:cs="Tahoma"/>
      <w:sz w:val="16"/>
      <w:szCs w:val="16"/>
    </w:rPr>
  </w:style>
  <w:style w:type="paragraph" w:styleId="En-tte">
    <w:name w:val="header"/>
    <w:basedOn w:val="Normal"/>
    <w:link w:val="En-tteCar"/>
    <w:uiPriority w:val="99"/>
    <w:semiHidden/>
    <w:unhideWhenUsed/>
    <w:rsid w:val="00EA7E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A7E42"/>
  </w:style>
  <w:style w:type="paragraph" w:styleId="Pieddepage">
    <w:name w:val="footer"/>
    <w:basedOn w:val="Normal"/>
    <w:link w:val="PieddepageCar"/>
    <w:uiPriority w:val="99"/>
    <w:semiHidden/>
    <w:unhideWhenUsed/>
    <w:rsid w:val="00EA7E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A7E42"/>
  </w:style>
  <w:style w:type="character" w:styleId="Lienhypertexte">
    <w:name w:val="Hyperlink"/>
    <w:basedOn w:val="Policepardfaut"/>
    <w:uiPriority w:val="99"/>
    <w:unhideWhenUsed/>
    <w:rsid w:val="00A456D5"/>
    <w:rPr>
      <w:color w:val="0000FF" w:themeColor="hyperlink"/>
      <w:u w:val="single"/>
    </w:rPr>
  </w:style>
  <w:style w:type="paragraph" w:styleId="Paragraphedeliste">
    <w:name w:val="List Paragraph"/>
    <w:basedOn w:val="Normal"/>
    <w:uiPriority w:val="34"/>
    <w:qFormat/>
    <w:rsid w:val="00F4195C"/>
    <w:pPr>
      <w:ind w:left="720"/>
      <w:contextualSpacing/>
    </w:pPr>
  </w:style>
  <w:style w:type="paragraph" w:styleId="Notedebasdepage">
    <w:name w:val="footnote text"/>
    <w:basedOn w:val="Normal"/>
    <w:link w:val="NotedebasdepageCar"/>
    <w:uiPriority w:val="99"/>
    <w:semiHidden/>
    <w:unhideWhenUsed/>
    <w:rsid w:val="000803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0361"/>
    <w:rPr>
      <w:sz w:val="20"/>
      <w:szCs w:val="20"/>
    </w:rPr>
  </w:style>
  <w:style w:type="character" w:styleId="Appelnotedebasdep">
    <w:name w:val="footnote reference"/>
    <w:basedOn w:val="Policepardfaut"/>
    <w:uiPriority w:val="99"/>
    <w:semiHidden/>
    <w:unhideWhenUsed/>
    <w:rsid w:val="0008036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RS971-PROMOTION-SANTE@ars.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4693A-AE56-46D5-86F8-EE7A9080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391</Words>
  <Characters>2156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lboulon</dc:creator>
  <cp:lastModifiedBy>lboulon</cp:lastModifiedBy>
  <cp:revision>12</cp:revision>
  <dcterms:created xsi:type="dcterms:W3CDTF">2018-04-10T03:53:00Z</dcterms:created>
  <dcterms:modified xsi:type="dcterms:W3CDTF">2018-04-16T22:15:00Z</dcterms:modified>
</cp:coreProperties>
</file>